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99695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5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172720</wp:posOffset>
            </wp:positionV>
            <wp:extent cx="1779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7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37465</wp:posOffset>
            </wp:positionV>
            <wp:extent cx="1779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0"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15" w:lineRule="exact"/>
        <w:rPr>
          <w:rFonts w:ascii="MS PGothic" w:cs="MS PGothic" w:eastAsia="MS PGothic" w:hAnsi="MS PGothic"/>
          <w:sz w:val="18"/>
          <w:szCs w:val="18"/>
          <w:color w:val="auto"/>
        </w:rPr>
      </w:pPr>
    </w:p>
    <w:p>
      <w:pPr>
        <w:ind w:left="360" w:hanging="353"/>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4" w:lineRule="exact"/>
        <w:rPr>
          <w:sz w:val="24"/>
          <w:szCs w:val="24"/>
          <w:color w:val="auto"/>
        </w:rPr>
      </w:pPr>
    </w:p>
    <w:p>
      <w:pPr>
        <w:ind w:left="360" w:hanging="353"/>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0" w:lineRule="exact"/>
        <w:rPr>
          <w:sz w:val="24"/>
          <w:szCs w:val="24"/>
          <w:color w:val="auto"/>
        </w:rPr>
      </w:pPr>
    </w:p>
    <w:p>
      <w:pPr>
        <w:ind w:left="360" w:hanging="353"/>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19" w:lineRule="exact"/>
        <w:rPr>
          <w:rFonts w:ascii="MS PGothic" w:cs="MS PGothic" w:eastAsia="MS PGothic" w:hAnsi="MS PGothic"/>
          <w:sz w:val="18"/>
          <w:szCs w:val="18"/>
          <w:color w:val="auto"/>
        </w:rPr>
      </w:pPr>
    </w:p>
    <w:p>
      <w:pPr>
        <w:ind w:left="360" w:hanging="353"/>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1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PUMA BIOTECHNOLOGY, INC.</w:t>
      </w:r>
    </w:p>
    <w:p>
      <w:pPr>
        <w:spacing w:after="0" w:line="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the Registrant as Specified In Its Charter)</w:t>
      </w:r>
    </w:p>
    <w:p>
      <w:pPr>
        <w:spacing w:after="0" w:line="196"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0" w:lineRule="exact"/>
        <w:rPr>
          <w:sz w:val="24"/>
          <w:szCs w:val="24"/>
          <w:color w:val="auto"/>
        </w:rPr>
      </w:pPr>
    </w:p>
    <w:p>
      <w:pPr>
        <w:ind w:left="360" w:hanging="353"/>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0" w:lineRule="exact"/>
        <w:rPr>
          <w:sz w:val="24"/>
          <w:szCs w:val="24"/>
          <w:color w:val="auto"/>
        </w:rPr>
      </w:pPr>
    </w:p>
    <w:p>
      <w:pPr>
        <w:ind w:left="360" w:hanging="353"/>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9" w:lineRule="exact"/>
        <w:rPr>
          <w:rFonts w:ascii="MS PGothic" w:cs="MS PGothic" w:eastAsia="MS PGothic" w:hAnsi="MS PGothic"/>
          <w:sz w:val="18"/>
          <w:szCs w:val="18"/>
          <w:color w:val="auto"/>
        </w:rPr>
      </w:pPr>
    </w:p>
    <w:p>
      <w:pPr>
        <w:ind w:left="360" w:hanging="353"/>
        <w:spacing w:after="0"/>
        <w:tabs>
          <w:tab w:leader="none" w:pos="3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227330</wp:posOffset>
            </wp:positionV>
            <wp:extent cx="713422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642620</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47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439420</wp:posOffset>
            </wp:positionV>
            <wp:extent cx="1923415" cy="677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341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28,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Fellow Stockholder:</w:t>
      </w:r>
    </w:p>
    <w:p>
      <w:pPr>
        <w:spacing w:after="0" w:line="220" w:lineRule="exact"/>
        <w:rPr>
          <w:sz w:val="20"/>
          <w:szCs w:val="20"/>
          <w:color w:val="auto"/>
        </w:rPr>
      </w:pPr>
    </w:p>
    <w:p>
      <w:pPr>
        <w:ind w:right="220" w:firstLine="427"/>
        <w:spacing w:after="0" w:line="307" w:lineRule="auto"/>
        <w:rPr>
          <w:sz w:val="20"/>
          <w:szCs w:val="20"/>
          <w:color w:val="auto"/>
        </w:rPr>
      </w:pPr>
      <w:r>
        <w:rPr>
          <w:rFonts w:ascii="Times New Roman" w:cs="Times New Roman" w:eastAsia="Times New Roman" w:hAnsi="Times New Roman"/>
          <w:sz w:val="17"/>
          <w:szCs w:val="17"/>
          <w:color w:val="auto"/>
        </w:rPr>
        <w:t>You are invited to attend the annual meeting of stockholders of Puma Biotechnology, Inc. (the “Company,” “we,” “us” or “our”) to be held on Thursday, June 11, 2026, at 1:00 p.m. local time, at the Company’s principal executive offices, 10880 Wilshire Blvd., Suite 1700, Los Angeles, CA 90024.</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this year’s annual meeting you will be asked to:</w:t>
      </w:r>
    </w:p>
    <w:p>
      <w:pPr>
        <w:spacing w:after="0" w:line="220" w:lineRule="exact"/>
        <w:rPr>
          <w:sz w:val="20"/>
          <w:szCs w:val="20"/>
          <w:color w:val="auto"/>
        </w:rPr>
      </w:pPr>
    </w:p>
    <w:p>
      <w:pPr>
        <w:ind w:left="460" w:right="140" w:hanging="226"/>
        <w:spacing w:after="0" w:line="277"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eight directors to serve for a one-year term. The nominees are Alan H. Auerbach, Alessandra Cesano, Allison Dorval, Michael P. Miller, Jay M. Moyes, Adrian M. Senderowicz, Brian Stuglik, and Troy E. Wilson;</w:t>
      </w:r>
    </w:p>
    <w:p>
      <w:pPr>
        <w:spacing w:after="0" w:line="162" w:lineRule="exact"/>
        <w:rPr>
          <w:rFonts w:ascii="Times New Roman" w:cs="Times New Roman" w:eastAsia="Times New Roman" w:hAnsi="Times New Roman"/>
          <w:sz w:val="18"/>
          <w:szCs w:val="18"/>
          <w:color w:val="auto"/>
        </w:rPr>
      </w:pPr>
    </w:p>
    <w:p>
      <w:pPr>
        <w:ind w:left="460" w:hanging="226"/>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selection of KPMG LLP as our independent registered public accounting firm for the year ending December 31, 2026;</w:t>
      </w:r>
    </w:p>
    <w:p>
      <w:pPr>
        <w:spacing w:after="0" w:line="219" w:lineRule="exact"/>
        <w:rPr>
          <w:rFonts w:ascii="Times New Roman" w:cs="Times New Roman" w:eastAsia="Times New Roman" w:hAnsi="Times New Roman"/>
          <w:sz w:val="18"/>
          <w:szCs w:val="18"/>
          <w:color w:val="auto"/>
        </w:rPr>
      </w:pPr>
    </w:p>
    <w:p>
      <w:pPr>
        <w:ind w:left="460" w:hanging="226"/>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 an advisory basis to approve the compensation of our Named Executive Officers as described in the proxy statement (“say-on-pay vote”);</w:t>
      </w:r>
    </w:p>
    <w:p>
      <w:pPr>
        <w:spacing w:after="0" w:line="219" w:lineRule="exact"/>
        <w:rPr>
          <w:rFonts w:ascii="Times New Roman" w:cs="Times New Roman" w:eastAsia="Times New Roman" w:hAnsi="Times New Roman"/>
          <w:sz w:val="18"/>
          <w:szCs w:val="18"/>
          <w:color w:val="auto"/>
        </w:rPr>
      </w:pPr>
    </w:p>
    <w:p>
      <w:pPr>
        <w:jc w:val="both"/>
        <w:ind w:left="460" w:right="80" w:hanging="226"/>
        <w:spacing w:after="0" w:line="26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 amendment (the “Auerbach Warrant Amendment”) to extend the expiration date of the warrant issued to Alan H. Auerbach, President and Chief Executive Officer of the Company, on October 4, 2011, as amended on June 15, 2021, to purchase 2,116,250 shares of the Company’s common stock at $16.00 per share (the “Auerbach Warrant”), from October 4, 2026 until October 4, 2028; and</w:t>
      </w:r>
    </w:p>
    <w:p>
      <w:pPr>
        <w:spacing w:after="0" w:line="176" w:lineRule="exact"/>
        <w:rPr>
          <w:rFonts w:ascii="Times New Roman" w:cs="Times New Roman" w:eastAsia="Times New Roman" w:hAnsi="Times New Roman"/>
          <w:sz w:val="18"/>
          <w:szCs w:val="18"/>
          <w:color w:val="auto"/>
        </w:rPr>
      </w:pPr>
    </w:p>
    <w:p>
      <w:pPr>
        <w:ind w:left="460" w:hanging="226"/>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such other business as may properly come before the annual meeting.</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accompanying Notice of Annual Meeting and proxy statement describe these matters. We urge you to read this information carefully.</w:t>
      </w:r>
    </w:p>
    <w:p>
      <w:pPr>
        <w:spacing w:after="0" w:line="220" w:lineRule="exact"/>
        <w:rPr>
          <w:sz w:val="20"/>
          <w:szCs w:val="20"/>
          <w:color w:val="auto"/>
        </w:rPr>
      </w:pPr>
    </w:p>
    <w:p>
      <w:pPr>
        <w:ind w:right="40" w:firstLine="427"/>
        <w:spacing w:after="0" w:line="254" w:lineRule="auto"/>
        <w:rPr>
          <w:sz w:val="20"/>
          <w:szCs w:val="20"/>
          <w:color w:val="auto"/>
        </w:rPr>
      </w:pPr>
      <w:r>
        <w:rPr>
          <w:rFonts w:ascii="Times New Roman" w:cs="Times New Roman" w:eastAsia="Times New Roman" w:hAnsi="Times New Roman"/>
          <w:sz w:val="18"/>
          <w:szCs w:val="18"/>
          <w:color w:val="auto"/>
        </w:rPr>
        <w:t>The Board of Directors unanimously believes that election of its nominees to serve as our directors, ratification of our independent registered public accounting firm, approval of the say-on-pay vote and approval of the Auerbach Warrant Amendment are in the best interests of the Company and its stockholders and accordingly, recommends a vote “FOR” each of the eight nominees for director named in the proxy statement, a vote “FOR” the ratification of KPMG LLP as our independent registered public accounting firm, a vote “FOR” the say-on-pay vote and a vote “FOR” the Auerbach Warrant Amendment.</w:t>
      </w:r>
    </w:p>
    <w:p>
      <w:pPr>
        <w:spacing w:after="0" w:line="186" w:lineRule="exact"/>
        <w:rPr>
          <w:sz w:val="20"/>
          <w:szCs w:val="20"/>
          <w:color w:val="auto"/>
        </w:rPr>
      </w:pPr>
    </w:p>
    <w:p>
      <w:pPr>
        <w:jc w:val="both"/>
        <w:ind w:right="160" w:firstLine="427"/>
        <w:spacing w:after="0" w:line="284" w:lineRule="auto"/>
        <w:rPr>
          <w:sz w:val="20"/>
          <w:szCs w:val="20"/>
          <w:color w:val="auto"/>
        </w:rPr>
      </w:pPr>
      <w:r>
        <w:rPr>
          <w:rFonts w:ascii="Times New Roman" w:cs="Times New Roman" w:eastAsia="Times New Roman" w:hAnsi="Times New Roman"/>
          <w:sz w:val="17"/>
          <w:szCs w:val="17"/>
          <w:color w:val="auto"/>
        </w:rPr>
        <w:t>It is important that your shares be represented and voted whether or not you plan to attend the annual meeting in person. You may submit your proxy over the Internet, or if you are receiving a paper copy of the proxy statement, by telephone or by completing and mailing the proxy card sent with the proxy statement. Submitting your proxy over the Internet, by telephone or by written proxy will ensure your shares are represented at the annual meeting.</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of Directors appreciates and encourages stockholder participation. Thank you for your continued support.</w:t>
      </w:r>
    </w:p>
    <w:p>
      <w:pPr>
        <w:spacing w:after="0" w:line="200" w:lineRule="exact"/>
        <w:rPr>
          <w:sz w:val="20"/>
          <w:szCs w:val="20"/>
          <w:color w:val="auto"/>
        </w:rPr>
      </w:pPr>
    </w:p>
    <w:p>
      <w:pPr>
        <w:spacing w:after="0" w:line="23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151130</wp:posOffset>
            </wp:positionV>
            <wp:extent cx="1270635" cy="2457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635" cy="24574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Alan H. Auerbach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-127635</wp:posOffset>
            </wp:positionV>
            <wp:extent cx="25673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7305" cy="8255"/>
                    </a:xfrm>
                    <a:prstGeom prst="rect">
                      <a:avLst/>
                    </a:prstGeom>
                    <a:noFill/>
                  </pic:spPr>
                </pic:pic>
              </a:graphicData>
            </a:graphic>
          </wp:anchor>
        </w:drawing>
      </w:r>
    </w:p>
    <w:p>
      <w:pPr>
        <w:spacing w:after="0" w:line="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Chairman, President, Chief Executive Officer and</w:t>
      </w:r>
    </w:p>
    <w:p>
      <w:pPr>
        <w:spacing w:after="0" w:line="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495300</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82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48"/>
        </w:trPr>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2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6"/>
        </w:trPr>
        <w:tc>
          <w:tcPr>
            <w:tcW w:w="454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0000EE"/>
                <w:w w:val="98"/>
              </w:rPr>
              <w:t>NOTICE OF ANNUAL MEETING OF STOCKHOLDERS</w:t>
            </w:r>
          </w:p>
        </w:tc>
        <w:tc>
          <w:tcPr>
            <w:tcW w:w="6280" w:type="dxa"/>
            <w:vAlign w:val="bottom"/>
            <w:gridSpan w:val="8"/>
          </w:tcPr>
          <w:p>
            <w:pPr>
              <w:spacing w:after="0"/>
              <w:rPr>
                <w:sz w:val="24"/>
                <w:szCs w:val="24"/>
                <w:color w:val="auto"/>
              </w:rPr>
            </w:pP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10820" w:type="dxa"/>
            <w:vAlign w:val="bottom"/>
            <w:gridSpan w:val="40"/>
          </w:tcPr>
          <w:p>
            <w:pPr>
              <w:spacing w:after="0" w:line="194" w:lineRule="exact"/>
              <w:rPr>
                <w:sz w:val="20"/>
                <w:szCs w:val="20"/>
                <w:color w:val="auto"/>
              </w:rPr>
            </w:pPr>
            <w:r>
              <w:rPr>
                <w:rFonts w:ascii="Times New Roman" w:cs="Times New Roman" w:eastAsia="Times New Roman" w:hAnsi="Times New Roman"/>
                <w:sz w:val="18"/>
                <w:szCs w:val="18"/>
                <w:color w:val="0000EE"/>
              </w:rPr>
              <w:t>INFORMATION CONCERNING VOTING AND SOLICITATION</w:t>
            </w: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4480" w:type="dxa"/>
            <w:vAlign w:val="bottom"/>
            <w:gridSpan w:val="34"/>
          </w:tcPr>
          <w:p>
            <w:pPr>
              <w:spacing w:after="0" w:line="194" w:lineRule="exact"/>
              <w:rPr>
                <w:sz w:val="20"/>
                <w:szCs w:val="20"/>
                <w:color w:val="auto"/>
              </w:rPr>
            </w:pPr>
            <w:r>
              <w:rPr>
                <w:rFonts w:ascii="Times New Roman" w:cs="Times New Roman" w:eastAsia="Times New Roman" w:hAnsi="Times New Roman"/>
                <w:sz w:val="18"/>
                <w:szCs w:val="18"/>
                <w:color w:val="0000EE"/>
              </w:rPr>
              <w:t>General</w:t>
            </w:r>
          </w:p>
        </w:tc>
        <w:tc>
          <w:tcPr>
            <w:tcW w:w="5980" w:type="dxa"/>
            <w:vAlign w:val="bottom"/>
            <w:gridSpan w:val="5"/>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0460" w:type="dxa"/>
            <w:vAlign w:val="bottom"/>
            <w:gridSpan w:val="39"/>
          </w:tcPr>
          <w:p>
            <w:pPr>
              <w:spacing w:after="0" w:line="194" w:lineRule="exact"/>
              <w:rPr>
                <w:sz w:val="20"/>
                <w:szCs w:val="20"/>
                <w:color w:val="auto"/>
              </w:rPr>
            </w:pPr>
            <w:r>
              <w:rPr>
                <w:rFonts w:ascii="Times New Roman" w:cs="Times New Roman" w:eastAsia="Times New Roman" w:hAnsi="Times New Roman"/>
                <w:sz w:val="18"/>
                <w:szCs w:val="18"/>
                <w:color w:val="0000EE"/>
              </w:rPr>
              <w:t>Important Notice Regarding the Availability of Proxy Materials for the 2025 Annual Meeting of Stockholders to be Held on Thursday</w:t>
            </w:r>
            <w:r>
              <w:rPr>
                <w:rFonts w:ascii="Times New Roman" w:cs="Times New Roman" w:eastAsia="Times New Roman" w:hAnsi="Times New Roman"/>
                <w:sz w:val="18"/>
                <w:szCs w:val="18"/>
                <w:color w:val="0000EE"/>
                <w:highlight w:val="white"/>
              </w:rPr>
              <w:t>, June 11,</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3"/>
        </w:trPr>
        <w:tc>
          <w:tcPr>
            <w:tcW w:w="360" w:type="dxa"/>
            <w:vAlign w:val="bottom"/>
          </w:tcPr>
          <w:p>
            <w:pPr>
              <w:spacing w:after="0"/>
              <w:rPr>
                <w:sz w:val="16"/>
                <w:szCs w:val="16"/>
                <w:color w:val="auto"/>
              </w:rPr>
            </w:pPr>
          </w:p>
        </w:tc>
        <w:tc>
          <w:tcPr>
            <w:tcW w:w="360" w:type="dxa"/>
            <w:vAlign w:val="bottom"/>
            <w:tcBorders>
              <w:top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4"/>
              </w:rPr>
              <w:t>2026</w:t>
            </w:r>
          </w:p>
        </w:tc>
        <w:tc>
          <w:tcPr>
            <w:tcW w:w="2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220" w:type="dxa"/>
            <w:vAlign w:val="bottom"/>
            <w:tcBorders>
              <w:top w:val="single" w:sz="8" w:color="0000EE"/>
            </w:tcBorders>
          </w:tcPr>
          <w:p>
            <w:pPr>
              <w:spacing w:after="0"/>
              <w:rPr>
                <w:sz w:val="16"/>
                <w:szCs w:val="16"/>
                <w:color w:val="auto"/>
              </w:rPr>
            </w:pPr>
          </w:p>
        </w:tc>
        <w:tc>
          <w:tcPr>
            <w:tcW w:w="1100" w:type="dxa"/>
            <w:vAlign w:val="bottom"/>
            <w:tcBorders>
              <w:top w:val="single" w:sz="8" w:color="0000EE"/>
            </w:tcBorders>
          </w:tcPr>
          <w:p>
            <w:pPr>
              <w:spacing w:after="0"/>
              <w:rPr>
                <w:sz w:val="16"/>
                <w:szCs w:val="16"/>
                <w:color w:val="auto"/>
              </w:rPr>
            </w:pPr>
          </w:p>
        </w:tc>
        <w:tc>
          <w:tcPr>
            <w:tcW w:w="1160" w:type="dxa"/>
            <w:vAlign w:val="bottom"/>
            <w:tcBorders>
              <w:top w:val="single" w:sz="8" w:color="0000EE"/>
            </w:tcBorders>
          </w:tcPr>
          <w:p>
            <w:pPr>
              <w:spacing w:after="0"/>
              <w:rPr>
                <w:sz w:val="16"/>
                <w:szCs w:val="16"/>
                <w:color w:val="auto"/>
              </w:rPr>
            </w:pPr>
          </w:p>
        </w:tc>
        <w:tc>
          <w:tcPr>
            <w:tcW w:w="2240" w:type="dxa"/>
            <w:vAlign w:val="bottom"/>
            <w:tcBorders>
              <w:top w:val="single" w:sz="8" w:color="0000EE"/>
            </w:tcBorders>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0460" w:type="dxa"/>
            <w:vAlign w:val="bottom"/>
            <w:gridSpan w:val="39"/>
          </w:tcPr>
          <w:p>
            <w:pPr>
              <w:spacing w:after="0" w:line="194" w:lineRule="exact"/>
              <w:rPr>
                <w:sz w:val="20"/>
                <w:szCs w:val="20"/>
                <w:color w:val="auto"/>
              </w:rPr>
            </w:pPr>
            <w:r>
              <w:rPr>
                <w:rFonts w:ascii="Times New Roman" w:cs="Times New Roman" w:eastAsia="Times New Roman" w:hAnsi="Times New Roman"/>
                <w:sz w:val="18"/>
                <w:szCs w:val="18"/>
                <w:color w:val="0000EE"/>
              </w:rPr>
              <w:t>Who Can Vote</w:t>
            </w: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3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0460" w:type="dxa"/>
            <w:vAlign w:val="bottom"/>
            <w:gridSpan w:val="39"/>
          </w:tcPr>
          <w:p>
            <w:pPr>
              <w:spacing w:after="0" w:line="194" w:lineRule="exact"/>
              <w:rPr>
                <w:sz w:val="20"/>
                <w:szCs w:val="20"/>
                <w:color w:val="auto"/>
              </w:rPr>
            </w:pPr>
            <w:r>
              <w:rPr>
                <w:rFonts w:ascii="Times New Roman" w:cs="Times New Roman" w:eastAsia="Times New Roman" w:hAnsi="Times New Roman"/>
                <w:sz w:val="18"/>
                <w:szCs w:val="18"/>
                <w:color w:val="0000EE"/>
              </w:rPr>
              <w:t>Voting of Shares</w:t>
            </w: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3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46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EE"/>
                <w:w w:val="95"/>
              </w:rPr>
              <w:t>Revocation of Proxy</w:t>
            </w:r>
          </w:p>
        </w:tc>
        <w:tc>
          <w:tcPr>
            <w:tcW w:w="9000" w:type="dxa"/>
            <w:vAlign w:val="bottom"/>
            <w:gridSpan w:val="31"/>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3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46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EE"/>
              </w:rPr>
              <w:t>Voting in Person</w:t>
            </w:r>
          </w:p>
        </w:tc>
        <w:tc>
          <w:tcPr>
            <w:tcW w:w="9000" w:type="dxa"/>
            <w:vAlign w:val="bottom"/>
            <w:gridSpan w:val="31"/>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3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0460" w:type="dxa"/>
            <w:vAlign w:val="bottom"/>
            <w:gridSpan w:val="39"/>
          </w:tcPr>
          <w:p>
            <w:pPr>
              <w:spacing w:after="0" w:line="194" w:lineRule="exact"/>
              <w:rPr>
                <w:sz w:val="20"/>
                <w:szCs w:val="20"/>
                <w:color w:val="auto"/>
              </w:rPr>
            </w:pPr>
            <w:r>
              <w:rPr>
                <w:rFonts w:ascii="Times New Roman" w:cs="Times New Roman" w:eastAsia="Times New Roman" w:hAnsi="Times New Roman"/>
                <w:sz w:val="18"/>
                <w:szCs w:val="18"/>
                <w:color w:val="0000EE"/>
              </w:rPr>
              <w:t>Quorum and Votes Required</w:t>
            </w: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3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60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0000EE"/>
                <w:w w:val="98"/>
              </w:rPr>
              <w:t>Solicitation of Proxies</w:t>
            </w:r>
          </w:p>
        </w:tc>
        <w:tc>
          <w:tcPr>
            <w:tcW w:w="420" w:type="dxa"/>
            <w:vAlign w:val="bottom"/>
            <w:gridSpan w:val="4"/>
          </w:tcPr>
          <w:p>
            <w:pPr>
              <w:spacing w:after="0"/>
              <w:rPr>
                <w:sz w:val="16"/>
                <w:szCs w:val="16"/>
                <w:color w:val="auto"/>
              </w:rPr>
            </w:pPr>
          </w:p>
        </w:tc>
        <w:tc>
          <w:tcPr>
            <w:tcW w:w="8440" w:type="dxa"/>
            <w:vAlign w:val="bottom"/>
            <w:gridSpan w:val="24"/>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3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60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0000EE"/>
              </w:rPr>
              <w:t>Assistance</w:t>
            </w:r>
          </w:p>
        </w:tc>
        <w:tc>
          <w:tcPr>
            <w:tcW w:w="8860" w:type="dxa"/>
            <w:vAlign w:val="bottom"/>
            <w:gridSpan w:val="28"/>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3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40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EE"/>
                <w:w w:val="98"/>
              </w:rPr>
              <w:t>PROPOSAL 1 – ELECTION OF DIRECTORS</w:t>
            </w:r>
          </w:p>
        </w:tc>
        <w:tc>
          <w:tcPr>
            <w:tcW w:w="7420" w:type="dxa"/>
            <w:vAlign w:val="bottom"/>
            <w:gridSpan w:val="13"/>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360" w:type="dxa"/>
            <w:vAlign w:val="bottom"/>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14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6"/>
              </w:rPr>
              <w:t>Board Structure</w:t>
            </w:r>
          </w:p>
        </w:tc>
        <w:tc>
          <w:tcPr>
            <w:tcW w:w="1900" w:type="dxa"/>
            <w:vAlign w:val="bottom"/>
            <w:gridSpan w:val="20"/>
          </w:tcPr>
          <w:p>
            <w:pPr>
              <w:spacing w:after="0"/>
              <w:rPr>
                <w:sz w:val="16"/>
                <w:szCs w:val="16"/>
                <w:color w:val="auto"/>
              </w:rPr>
            </w:pPr>
          </w:p>
        </w:tc>
        <w:tc>
          <w:tcPr>
            <w:tcW w:w="7420" w:type="dxa"/>
            <w:vAlign w:val="bottom"/>
            <w:gridSpan w:val="13"/>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360" w:type="dxa"/>
            <w:vAlign w:val="bottom"/>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220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EE"/>
                <w:w w:val="96"/>
              </w:rPr>
              <w:t>Directors and Board Nominees</w:t>
            </w:r>
          </w:p>
        </w:tc>
        <w:tc>
          <w:tcPr>
            <w:tcW w:w="8260" w:type="dxa"/>
            <w:vAlign w:val="bottom"/>
            <w:gridSpan w:val="22"/>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360" w:type="dxa"/>
            <w:vAlign w:val="bottom"/>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24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EE"/>
                <w:w w:val="96"/>
              </w:rPr>
              <w:t>Director Biographical Information</w:t>
            </w:r>
          </w:p>
        </w:tc>
        <w:tc>
          <w:tcPr>
            <w:tcW w:w="8020" w:type="dxa"/>
            <w:vAlign w:val="bottom"/>
            <w:gridSpan w:val="20"/>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5</w:t>
            </w:r>
          </w:p>
        </w:tc>
      </w:tr>
      <w:tr>
        <w:trPr>
          <w:trHeight w:val="20"/>
        </w:trPr>
        <w:tc>
          <w:tcPr>
            <w:tcW w:w="360" w:type="dxa"/>
            <w:vAlign w:val="bottom"/>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74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EE"/>
                <w:w w:val="97"/>
              </w:rPr>
              <w:t>Board Recommendation</w:t>
            </w:r>
          </w:p>
        </w:tc>
        <w:tc>
          <w:tcPr>
            <w:tcW w:w="700" w:type="dxa"/>
            <w:vAlign w:val="bottom"/>
            <w:gridSpan w:val="7"/>
          </w:tcPr>
          <w:p>
            <w:pPr>
              <w:spacing w:after="0"/>
              <w:rPr>
                <w:sz w:val="16"/>
                <w:szCs w:val="16"/>
                <w:color w:val="auto"/>
              </w:rPr>
            </w:pPr>
          </w:p>
        </w:tc>
        <w:tc>
          <w:tcPr>
            <w:tcW w:w="8020" w:type="dxa"/>
            <w:vAlign w:val="bottom"/>
            <w:gridSpan w:val="20"/>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7</w:t>
            </w:r>
          </w:p>
        </w:tc>
      </w:tr>
      <w:tr>
        <w:trPr>
          <w:trHeight w:val="20"/>
        </w:trPr>
        <w:tc>
          <w:tcPr>
            <w:tcW w:w="360" w:type="dxa"/>
            <w:vAlign w:val="bottom"/>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228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w w:val="95"/>
              </w:rPr>
              <w:t>CORPORATE GOVERNANCE</w:t>
            </w:r>
          </w:p>
        </w:tc>
        <w:tc>
          <w:tcPr>
            <w:tcW w:w="8540" w:type="dxa"/>
            <w:vAlign w:val="bottom"/>
            <w:gridSpan w:val="25"/>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7</w:t>
            </w:r>
          </w:p>
        </w:tc>
      </w:tr>
      <w:tr>
        <w:trPr>
          <w:trHeight w:val="20"/>
        </w:trPr>
        <w:tc>
          <w:tcPr>
            <w:tcW w:w="360" w:type="dxa"/>
            <w:vAlign w:val="bottom"/>
            <w:shd w:val="clear" w:color="auto" w:fill="0000EE"/>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92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EE"/>
              </w:rPr>
              <w:t>Board Independence</w:t>
            </w:r>
          </w:p>
        </w:tc>
        <w:tc>
          <w:tcPr>
            <w:tcW w:w="8540" w:type="dxa"/>
            <w:vAlign w:val="bottom"/>
            <w:gridSpan w:val="25"/>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7</w:t>
            </w:r>
          </w:p>
        </w:tc>
      </w:tr>
      <w:tr>
        <w:trPr>
          <w:trHeight w:val="20"/>
        </w:trPr>
        <w:tc>
          <w:tcPr>
            <w:tcW w:w="360" w:type="dxa"/>
            <w:vAlign w:val="bottom"/>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206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w w:val="94"/>
              </w:rPr>
              <w:t>Board Role in Risk Oversight</w:t>
            </w:r>
          </w:p>
        </w:tc>
        <w:tc>
          <w:tcPr>
            <w:tcW w:w="8400" w:type="dxa"/>
            <w:vAlign w:val="bottom"/>
            <w:gridSpan w:val="23"/>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8</w:t>
            </w:r>
          </w:p>
        </w:tc>
      </w:tr>
      <w:tr>
        <w:trPr>
          <w:trHeight w:val="20"/>
        </w:trPr>
        <w:tc>
          <w:tcPr>
            <w:tcW w:w="360" w:type="dxa"/>
            <w:vAlign w:val="bottom"/>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206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8400" w:type="dxa"/>
            <w:vAlign w:val="bottom"/>
            <w:gridSpan w:val="23"/>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8</w:t>
            </w:r>
          </w:p>
        </w:tc>
      </w:tr>
      <w:tr>
        <w:trPr>
          <w:trHeight w:val="20"/>
        </w:trPr>
        <w:tc>
          <w:tcPr>
            <w:tcW w:w="360" w:type="dxa"/>
            <w:vAlign w:val="bottom"/>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82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w w:val="97"/>
              </w:rPr>
              <w:t>Meetings and Attendance</w:t>
            </w:r>
          </w:p>
        </w:tc>
        <w:tc>
          <w:tcPr>
            <w:tcW w:w="100" w:type="dxa"/>
            <w:vAlign w:val="bottom"/>
          </w:tcPr>
          <w:p>
            <w:pPr>
              <w:spacing w:after="0"/>
              <w:rPr>
                <w:sz w:val="16"/>
                <w:szCs w:val="16"/>
                <w:color w:val="auto"/>
              </w:rPr>
            </w:pPr>
          </w:p>
        </w:tc>
        <w:tc>
          <w:tcPr>
            <w:tcW w:w="8540" w:type="dxa"/>
            <w:vAlign w:val="bottom"/>
            <w:gridSpan w:val="25"/>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8</w:t>
            </w:r>
          </w:p>
        </w:tc>
      </w:tr>
      <w:tr>
        <w:trPr>
          <w:trHeight w:val="20"/>
        </w:trPr>
        <w:tc>
          <w:tcPr>
            <w:tcW w:w="360" w:type="dxa"/>
            <w:vAlign w:val="bottom"/>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34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3"/>
              </w:rPr>
              <w:t>Executive Sessions</w:t>
            </w:r>
          </w:p>
        </w:tc>
        <w:tc>
          <w:tcPr>
            <w:tcW w:w="480" w:type="dxa"/>
            <w:vAlign w:val="bottom"/>
            <w:gridSpan w:val="6"/>
          </w:tcPr>
          <w:p>
            <w:pPr>
              <w:spacing w:after="0"/>
              <w:rPr>
                <w:sz w:val="16"/>
                <w:szCs w:val="16"/>
                <w:color w:val="auto"/>
              </w:rPr>
            </w:pPr>
          </w:p>
        </w:tc>
        <w:tc>
          <w:tcPr>
            <w:tcW w:w="8640" w:type="dxa"/>
            <w:vAlign w:val="bottom"/>
            <w:gridSpan w:val="26"/>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8</w:t>
            </w:r>
          </w:p>
        </w:tc>
      </w:tr>
      <w:tr>
        <w:trPr>
          <w:trHeight w:val="20"/>
        </w:trPr>
        <w:tc>
          <w:tcPr>
            <w:tcW w:w="360" w:type="dxa"/>
            <w:vAlign w:val="bottom"/>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34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5"/>
              </w:rPr>
              <w:t>Board Committees</w:t>
            </w:r>
          </w:p>
        </w:tc>
        <w:tc>
          <w:tcPr>
            <w:tcW w:w="9120" w:type="dxa"/>
            <w:vAlign w:val="bottom"/>
            <w:gridSpan w:val="32"/>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8</w:t>
            </w:r>
          </w:p>
        </w:tc>
      </w:tr>
      <w:tr>
        <w:trPr>
          <w:trHeight w:val="20"/>
        </w:trPr>
        <w:tc>
          <w:tcPr>
            <w:tcW w:w="360" w:type="dxa"/>
            <w:vAlign w:val="bottom"/>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0460" w:type="dxa"/>
            <w:vAlign w:val="bottom"/>
            <w:gridSpan w:val="39"/>
          </w:tcPr>
          <w:p>
            <w:pPr>
              <w:spacing w:after="0" w:line="194" w:lineRule="exact"/>
              <w:rPr>
                <w:sz w:val="20"/>
                <w:szCs w:val="20"/>
                <w:color w:val="auto"/>
              </w:rPr>
            </w:pPr>
            <w:r>
              <w:rPr>
                <w:rFonts w:ascii="Times New Roman" w:cs="Times New Roman" w:eastAsia="Times New Roman" w:hAnsi="Times New Roman"/>
                <w:sz w:val="18"/>
                <w:szCs w:val="18"/>
                <w:color w:val="0000EE"/>
              </w:rPr>
              <w:t>Code of Business Conduct and Ethics</w:t>
            </w: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11</w:t>
            </w:r>
          </w:p>
        </w:tc>
      </w:tr>
      <w:tr>
        <w:trPr>
          <w:trHeight w:val="20"/>
        </w:trPr>
        <w:tc>
          <w:tcPr>
            <w:tcW w:w="360" w:type="dxa"/>
            <w:vAlign w:val="bottom"/>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24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EE"/>
                <w:w w:val="97"/>
              </w:rPr>
              <w:t>Corporate Governance Guidelines</w:t>
            </w:r>
          </w:p>
        </w:tc>
        <w:tc>
          <w:tcPr>
            <w:tcW w:w="240" w:type="dxa"/>
            <w:vAlign w:val="bottom"/>
            <w:gridSpan w:val="3"/>
          </w:tcPr>
          <w:p>
            <w:pPr>
              <w:spacing w:after="0"/>
              <w:rPr>
                <w:sz w:val="16"/>
                <w:szCs w:val="16"/>
                <w:color w:val="auto"/>
              </w:rPr>
            </w:pPr>
          </w:p>
        </w:tc>
        <w:tc>
          <w:tcPr>
            <w:tcW w:w="7780" w:type="dxa"/>
            <w:vAlign w:val="bottom"/>
            <w:gridSpan w:val="17"/>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11</w:t>
            </w:r>
          </w:p>
        </w:tc>
      </w:tr>
      <w:tr>
        <w:trPr>
          <w:trHeight w:val="20"/>
        </w:trPr>
        <w:tc>
          <w:tcPr>
            <w:tcW w:w="360" w:type="dxa"/>
            <w:vAlign w:val="bottom"/>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24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EE"/>
              </w:rPr>
              <w:t>Communication with the Board</w:t>
            </w:r>
          </w:p>
        </w:tc>
        <w:tc>
          <w:tcPr>
            <w:tcW w:w="8020" w:type="dxa"/>
            <w:vAlign w:val="bottom"/>
            <w:gridSpan w:val="20"/>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11</w:t>
            </w:r>
          </w:p>
        </w:tc>
      </w:tr>
      <w:tr>
        <w:trPr>
          <w:trHeight w:val="20"/>
        </w:trPr>
        <w:tc>
          <w:tcPr>
            <w:tcW w:w="360" w:type="dxa"/>
            <w:vAlign w:val="bottom"/>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0460" w:type="dxa"/>
            <w:vAlign w:val="bottom"/>
            <w:gridSpan w:val="39"/>
          </w:tcPr>
          <w:p>
            <w:pPr>
              <w:spacing w:after="0" w:line="194" w:lineRule="exact"/>
              <w:rPr>
                <w:sz w:val="20"/>
                <w:szCs w:val="20"/>
                <w:color w:val="auto"/>
              </w:rPr>
            </w:pPr>
            <w:r>
              <w:rPr>
                <w:rFonts w:ascii="Times New Roman" w:cs="Times New Roman" w:eastAsia="Times New Roman" w:hAnsi="Times New Roman"/>
                <w:sz w:val="18"/>
                <w:szCs w:val="18"/>
                <w:color w:val="0000EE"/>
              </w:rPr>
              <w:t>Insider Trading Policy; Pledging and Hedging Prohibited</w:t>
            </w: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11</w:t>
            </w:r>
          </w:p>
        </w:tc>
      </w:tr>
      <w:tr>
        <w:trPr>
          <w:trHeight w:val="20"/>
        </w:trPr>
        <w:tc>
          <w:tcPr>
            <w:tcW w:w="360" w:type="dxa"/>
            <w:vAlign w:val="bottom"/>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4060" w:type="dxa"/>
            <w:vAlign w:val="bottom"/>
            <w:gridSpan w:val="30"/>
          </w:tcPr>
          <w:p>
            <w:pPr>
              <w:spacing w:after="0" w:line="194" w:lineRule="exact"/>
              <w:rPr>
                <w:sz w:val="20"/>
                <w:szCs w:val="20"/>
                <w:color w:val="auto"/>
              </w:rPr>
            </w:pPr>
            <w:r>
              <w:rPr>
                <w:rFonts w:ascii="Times New Roman" w:cs="Times New Roman" w:eastAsia="Times New Roman" w:hAnsi="Times New Roman"/>
                <w:sz w:val="18"/>
                <w:szCs w:val="18"/>
                <w:color w:val="0000EE"/>
              </w:rPr>
              <w:t>Compliance, Quality, Access and Safety</w:t>
            </w:r>
          </w:p>
        </w:tc>
        <w:tc>
          <w:tcPr>
            <w:tcW w:w="6400" w:type="dxa"/>
            <w:vAlign w:val="bottom"/>
            <w:gridSpan w:val="9"/>
          </w:tcPr>
          <w:p>
            <w:pPr>
              <w:spacing w:after="0"/>
              <w:rPr>
                <w:sz w:val="16"/>
                <w:szCs w:val="16"/>
                <w:color w:val="auto"/>
              </w:rPr>
            </w:pP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12</w:t>
            </w:r>
          </w:p>
        </w:tc>
      </w:tr>
      <w:tr>
        <w:trPr>
          <w:trHeight w:val="193"/>
        </w:trPr>
        <w:tc>
          <w:tcPr>
            <w:tcW w:w="360" w:type="dxa"/>
            <w:vAlign w:val="bottom"/>
          </w:tcPr>
          <w:p>
            <w:pPr>
              <w:spacing w:after="0"/>
              <w:rPr>
                <w:sz w:val="16"/>
                <w:szCs w:val="16"/>
                <w:color w:val="auto"/>
              </w:rPr>
            </w:pPr>
          </w:p>
        </w:tc>
        <w:tc>
          <w:tcPr>
            <w:tcW w:w="2860" w:type="dxa"/>
            <w:vAlign w:val="bottom"/>
            <w:tcBorders>
              <w:top w:val="single" w:sz="8" w:color="0000EE"/>
            </w:tcBorders>
            <w:gridSpan w:val="25"/>
          </w:tcPr>
          <w:p>
            <w:pPr>
              <w:spacing w:after="0" w:line="194" w:lineRule="exact"/>
              <w:rPr>
                <w:sz w:val="20"/>
                <w:szCs w:val="20"/>
                <w:color w:val="auto"/>
              </w:rPr>
            </w:pPr>
            <w:r>
              <w:rPr>
                <w:rFonts w:ascii="Times New Roman" w:cs="Times New Roman" w:eastAsia="Times New Roman" w:hAnsi="Times New Roman"/>
                <w:sz w:val="18"/>
                <w:szCs w:val="18"/>
                <w:color w:val="0000EE"/>
              </w:rPr>
              <w:t>Compensation of Directors</w:t>
            </w:r>
          </w:p>
        </w:tc>
        <w:tc>
          <w:tcPr>
            <w:tcW w:w="7600" w:type="dxa"/>
            <w:vAlign w:val="bottom"/>
            <w:gridSpan w:val="14"/>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0000EE"/>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14</w:t>
            </w:r>
          </w:p>
        </w:tc>
      </w:tr>
      <w:tr>
        <w:trPr>
          <w:trHeight w:val="20"/>
        </w:trPr>
        <w:tc>
          <w:tcPr>
            <w:tcW w:w="360" w:type="dxa"/>
            <w:vAlign w:val="bottom"/>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193"/>
        </w:trPr>
        <w:tc>
          <w:tcPr>
            <w:tcW w:w="8320" w:type="dxa"/>
            <w:vAlign w:val="bottom"/>
            <w:tcBorders>
              <w:bottom w:val="single" w:sz="8" w:color="0000EE"/>
            </w:tcBorders>
            <w:gridSpan w:val="38"/>
          </w:tcPr>
          <w:p>
            <w:pPr>
              <w:spacing w:after="0" w:line="194" w:lineRule="exact"/>
              <w:rPr>
                <w:sz w:val="20"/>
                <w:szCs w:val="20"/>
                <w:color w:val="auto"/>
              </w:rPr>
            </w:pPr>
            <w:r>
              <w:rPr>
                <w:rFonts w:ascii="Times New Roman" w:cs="Times New Roman" w:eastAsia="Times New Roman" w:hAnsi="Times New Roman"/>
                <w:sz w:val="18"/>
                <w:szCs w:val="18"/>
                <w:color w:val="0000EE"/>
                <w:w w:val="98"/>
              </w:rPr>
              <w:t>SECURITY OWNERSHIP OF DIRECTORS, EXECUTIVE OFFICERS AND CERTAIN BENEFICIAL OWNERS</w:t>
            </w:r>
          </w:p>
        </w:tc>
        <w:tc>
          <w:tcPr>
            <w:tcW w:w="250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15</w:t>
            </w:r>
          </w:p>
        </w:tc>
      </w:tr>
      <w:tr>
        <w:trPr>
          <w:trHeight w:val="193"/>
        </w:trPr>
        <w:tc>
          <w:tcPr>
            <w:tcW w:w="1880" w:type="dxa"/>
            <w:vAlign w:val="bottom"/>
            <w:tcBorders>
              <w:bottom w:val="single" w:sz="8" w:color="0000EE"/>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EE"/>
                <w:w w:val="98"/>
              </w:rPr>
              <w:t>EXECUTIVE OFFICERS</w:t>
            </w:r>
          </w:p>
        </w:tc>
        <w:tc>
          <w:tcPr>
            <w:tcW w:w="8940" w:type="dxa"/>
            <w:vAlign w:val="bottom"/>
            <w:gridSpan w:val="29"/>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17</w:t>
            </w:r>
          </w:p>
        </w:tc>
      </w:tr>
      <w:tr>
        <w:trPr>
          <w:trHeight w:val="193"/>
        </w:trPr>
        <w:tc>
          <w:tcPr>
            <w:tcW w:w="10820" w:type="dxa"/>
            <w:vAlign w:val="bottom"/>
            <w:gridSpan w:val="40"/>
          </w:tcPr>
          <w:p>
            <w:pPr>
              <w:spacing w:after="0" w:line="194" w:lineRule="exact"/>
              <w:rPr>
                <w:sz w:val="20"/>
                <w:szCs w:val="20"/>
                <w:color w:val="auto"/>
              </w:rPr>
            </w:pPr>
            <w:r>
              <w:rPr>
                <w:rFonts w:ascii="Times New Roman" w:cs="Times New Roman" w:eastAsia="Times New Roman" w:hAnsi="Times New Roman"/>
                <w:sz w:val="18"/>
                <w:szCs w:val="18"/>
                <w:color w:val="0000EE"/>
              </w:rPr>
              <w:t>EXECUTIVE COMPENSATION</w:t>
            </w: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17</w:t>
            </w:r>
          </w:p>
        </w:tc>
      </w:tr>
      <w:tr>
        <w:trPr>
          <w:trHeight w:val="20"/>
        </w:trPr>
        <w:tc>
          <w:tcPr>
            <w:tcW w:w="360" w:type="dxa"/>
            <w:vAlign w:val="bottom"/>
            <w:shd w:val="clear" w:color="auto" w:fill="0000EE"/>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0460" w:type="dxa"/>
            <w:vAlign w:val="bottom"/>
            <w:gridSpan w:val="39"/>
          </w:tcPr>
          <w:p>
            <w:pPr>
              <w:spacing w:after="0" w:line="194" w:lineRule="exact"/>
              <w:rPr>
                <w:sz w:val="20"/>
                <w:szCs w:val="20"/>
                <w:color w:val="auto"/>
              </w:rPr>
            </w:pPr>
            <w:r>
              <w:rPr>
                <w:rFonts w:ascii="Times New Roman" w:cs="Times New Roman" w:eastAsia="Times New Roman" w:hAnsi="Times New Roman"/>
                <w:sz w:val="18"/>
                <w:szCs w:val="18"/>
                <w:color w:val="0000EE"/>
              </w:rPr>
              <w:t>Compensation Discussion and Analysis</w:t>
            </w: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17</w:t>
            </w:r>
          </w:p>
        </w:tc>
      </w:tr>
      <w:tr>
        <w:trPr>
          <w:trHeight w:val="193"/>
        </w:trPr>
        <w:tc>
          <w:tcPr>
            <w:tcW w:w="360" w:type="dxa"/>
            <w:vAlign w:val="bottom"/>
          </w:tcPr>
          <w:p>
            <w:pPr>
              <w:spacing w:after="0"/>
              <w:rPr>
                <w:sz w:val="16"/>
                <w:szCs w:val="16"/>
                <w:color w:val="auto"/>
              </w:rPr>
            </w:pPr>
          </w:p>
        </w:tc>
        <w:tc>
          <w:tcPr>
            <w:tcW w:w="2820" w:type="dxa"/>
            <w:vAlign w:val="bottom"/>
            <w:tcBorders>
              <w:top w:val="single" w:sz="8" w:color="0000EE"/>
            </w:tcBorders>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Summary Compensation Table</w:t>
            </w:r>
          </w:p>
        </w:tc>
        <w:tc>
          <w:tcPr>
            <w:tcW w:w="7640" w:type="dxa"/>
            <w:vAlign w:val="bottom"/>
            <w:gridSpan w:val="16"/>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0000EE"/>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26</w:t>
            </w:r>
          </w:p>
        </w:tc>
      </w:tr>
      <w:tr>
        <w:trPr>
          <w:trHeight w:val="20"/>
        </w:trPr>
        <w:tc>
          <w:tcPr>
            <w:tcW w:w="360" w:type="dxa"/>
            <w:vAlign w:val="bottom"/>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700" w:type="dxa"/>
            <w:vAlign w:val="bottom"/>
            <w:gridSpan w:val="8"/>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10460" w:type="dxa"/>
            <w:vAlign w:val="bottom"/>
            <w:gridSpan w:val="39"/>
          </w:tcPr>
          <w:p>
            <w:pPr>
              <w:spacing w:after="0" w:line="194" w:lineRule="exact"/>
              <w:rPr>
                <w:sz w:val="20"/>
                <w:szCs w:val="20"/>
                <w:color w:val="auto"/>
              </w:rPr>
            </w:pPr>
            <w:r>
              <w:rPr>
                <w:rFonts w:ascii="Times New Roman" w:cs="Times New Roman" w:eastAsia="Times New Roman" w:hAnsi="Times New Roman"/>
                <w:sz w:val="18"/>
                <w:szCs w:val="18"/>
                <w:color w:val="0000EE"/>
              </w:rPr>
              <w:t>Grants of Plan-Based Awards in 2025</w:t>
            </w: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27</w:t>
            </w:r>
          </w:p>
        </w:tc>
      </w:tr>
      <w:tr>
        <w:trPr>
          <w:trHeight w:val="20"/>
        </w:trPr>
        <w:tc>
          <w:tcPr>
            <w:tcW w:w="360" w:type="dxa"/>
            <w:vAlign w:val="bottom"/>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800" w:type="dxa"/>
            <w:vAlign w:val="bottom"/>
            <w:gridSpan w:val="9"/>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6800" w:type="dxa"/>
            <w:vAlign w:val="bottom"/>
            <w:tcBorders>
              <w:bottom w:val="single" w:sz="8" w:color="0000EE"/>
            </w:tcBorders>
            <w:gridSpan w:val="36"/>
          </w:tcPr>
          <w:p>
            <w:pPr>
              <w:spacing w:after="0" w:line="194" w:lineRule="exact"/>
              <w:rPr>
                <w:sz w:val="20"/>
                <w:szCs w:val="20"/>
                <w:color w:val="auto"/>
              </w:rPr>
            </w:pPr>
            <w:r>
              <w:rPr>
                <w:rFonts w:ascii="Times New Roman" w:cs="Times New Roman" w:eastAsia="Times New Roman" w:hAnsi="Times New Roman"/>
                <w:sz w:val="18"/>
                <w:szCs w:val="18"/>
                <w:color w:val="0000EE"/>
                <w:w w:val="98"/>
              </w:rPr>
              <w:t>Narrative Disclosure to Summary Compensation Table and Grants of Plan-Based Awards Table</w:t>
            </w:r>
          </w:p>
        </w:tc>
        <w:tc>
          <w:tcPr>
            <w:tcW w:w="3660" w:type="dxa"/>
            <w:vAlign w:val="bottom"/>
            <w:gridSpan w:val="3"/>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27</w:t>
            </w:r>
          </w:p>
        </w:tc>
      </w:tr>
      <w:tr>
        <w:trPr>
          <w:trHeight w:val="193"/>
        </w:trPr>
        <w:tc>
          <w:tcPr>
            <w:tcW w:w="360" w:type="dxa"/>
            <w:vAlign w:val="bottom"/>
          </w:tcPr>
          <w:p>
            <w:pPr>
              <w:spacing w:after="0"/>
              <w:rPr>
                <w:sz w:val="16"/>
                <w:szCs w:val="16"/>
                <w:color w:val="auto"/>
              </w:rPr>
            </w:pPr>
          </w:p>
        </w:tc>
        <w:tc>
          <w:tcPr>
            <w:tcW w:w="10460" w:type="dxa"/>
            <w:vAlign w:val="bottom"/>
            <w:gridSpan w:val="39"/>
          </w:tcPr>
          <w:p>
            <w:pPr>
              <w:spacing w:after="0" w:line="194" w:lineRule="exact"/>
              <w:rPr>
                <w:sz w:val="20"/>
                <w:szCs w:val="20"/>
                <w:color w:val="auto"/>
              </w:rPr>
            </w:pPr>
            <w:r>
              <w:rPr>
                <w:rFonts w:ascii="Times New Roman" w:cs="Times New Roman" w:eastAsia="Times New Roman" w:hAnsi="Times New Roman"/>
                <w:sz w:val="18"/>
                <w:szCs w:val="18"/>
                <w:color w:val="0000EE"/>
              </w:rPr>
              <w:t>Offer Letters and Employment Agreements with Our Named Executive Officers</w:t>
            </w: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27</w:t>
            </w:r>
          </w:p>
        </w:tc>
      </w:tr>
      <w:tr>
        <w:trPr>
          <w:trHeight w:val="193"/>
        </w:trPr>
        <w:tc>
          <w:tcPr>
            <w:tcW w:w="360" w:type="dxa"/>
            <w:vAlign w:val="bottom"/>
          </w:tcPr>
          <w:p>
            <w:pPr>
              <w:spacing w:after="0"/>
              <w:rPr>
                <w:sz w:val="16"/>
                <w:szCs w:val="16"/>
                <w:color w:val="auto"/>
              </w:rPr>
            </w:pPr>
          </w:p>
        </w:tc>
        <w:tc>
          <w:tcPr>
            <w:tcW w:w="3320" w:type="dxa"/>
            <w:vAlign w:val="bottom"/>
            <w:tcBorders>
              <w:top w:val="single" w:sz="8" w:color="0000EE"/>
              <w:bottom w:val="single" w:sz="8" w:color="0000EE"/>
            </w:tcBorders>
            <w:gridSpan w:val="28"/>
          </w:tcPr>
          <w:p>
            <w:pPr>
              <w:spacing w:after="0" w:line="194" w:lineRule="exact"/>
              <w:rPr>
                <w:sz w:val="20"/>
                <w:szCs w:val="20"/>
                <w:color w:val="auto"/>
              </w:rPr>
            </w:pPr>
            <w:r>
              <w:rPr>
                <w:rFonts w:ascii="Times New Roman" w:cs="Times New Roman" w:eastAsia="Times New Roman" w:hAnsi="Times New Roman"/>
                <w:sz w:val="18"/>
                <w:szCs w:val="18"/>
                <w:color w:val="0000EE"/>
                <w:w w:val="97"/>
              </w:rPr>
              <w:t>Outstanding Equity Awards at Fiscal Year End</w:t>
            </w:r>
          </w:p>
        </w:tc>
        <w:tc>
          <w:tcPr>
            <w:tcW w:w="2380" w:type="dxa"/>
            <w:vAlign w:val="bottom"/>
            <w:tcBorders>
              <w:top w:val="single" w:sz="8" w:color="0000EE"/>
            </w:tcBorders>
            <w:gridSpan w:val="7"/>
          </w:tcPr>
          <w:p>
            <w:pPr>
              <w:spacing w:after="0"/>
              <w:rPr>
                <w:sz w:val="16"/>
                <w:szCs w:val="16"/>
                <w:color w:val="auto"/>
              </w:rPr>
            </w:pPr>
          </w:p>
        </w:tc>
        <w:tc>
          <w:tcPr>
            <w:tcW w:w="4760" w:type="dxa"/>
            <w:vAlign w:val="bottom"/>
            <w:gridSpan w:val="4"/>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0000EE"/>
              <w:bottom w:val="single" w:sz="8" w:color="0000EE"/>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28</w:t>
            </w:r>
          </w:p>
        </w:tc>
      </w:tr>
      <w:tr>
        <w:trPr>
          <w:trHeight w:val="193"/>
        </w:trPr>
        <w:tc>
          <w:tcPr>
            <w:tcW w:w="360" w:type="dxa"/>
            <w:vAlign w:val="bottom"/>
          </w:tcPr>
          <w:p>
            <w:pPr>
              <w:spacing w:after="0"/>
              <w:rPr>
                <w:sz w:val="16"/>
                <w:szCs w:val="16"/>
                <w:color w:val="auto"/>
              </w:rPr>
            </w:pPr>
          </w:p>
        </w:tc>
        <w:tc>
          <w:tcPr>
            <w:tcW w:w="2600" w:type="dxa"/>
            <w:vAlign w:val="bottom"/>
            <w:tcBorders>
              <w:bottom w:val="single" w:sz="8" w:color="0000EE"/>
            </w:tcBorders>
            <w:gridSpan w:val="21"/>
          </w:tcPr>
          <w:p>
            <w:pPr>
              <w:spacing w:after="0" w:line="194" w:lineRule="exact"/>
              <w:rPr>
                <w:sz w:val="20"/>
                <w:szCs w:val="20"/>
                <w:color w:val="auto"/>
              </w:rPr>
            </w:pPr>
            <w:r>
              <w:rPr>
                <w:rFonts w:ascii="Times New Roman" w:cs="Times New Roman" w:eastAsia="Times New Roman" w:hAnsi="Times New Roman"/>
                <w:sz w:val="18"/>
                <w:szCs w:val="18"/>
                <w:color w:val="0000EE"/>
                <w:w w:val="98"/>
              </w:rPr>
              <w:t>Options Exercised and Stock Vested</w:t>
            </w:r>
          </w:p>
        </w:tc>
        <w:tc>
          <w:tcPr>
            <w:tcW w:w="7860" w:type="dxa"/>
            <w:vAlign w:val="bottom"/>
            <w:gridSpan w:val="18"/>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29</w:t>
            </w:r>
          </w:p>
        </w:tc>
      </w:tr>
      <w:tr>
        <w:trPr>
          <w:trHeight w:val="193"/>
        </w:trPr>
        <w:tc>
          <w:tcPr>
            <w:tcW w:w="360" w:type="dxa"/>
            <w:vAlign w:val="bottom"/>
          </w:tcPr>
          <w:p>
            <w:pPr>
              <w:spacing w:after="0"/>
              <w:rPr>
                <w:sz w:val="16"/>
                <w:szCs w:val="16"/>
                <w:color w:val="auto"/>
              </w:rPr>
            </w:pPr>
          </w:p>
        </w:tc>
        <w:tc>
          <w:tcPr>
            <w:tcW w:w="4240" w:type="dxa"/>
            <w:vAlign w:val="bottom"/>
            <w:tcBorders>
              <w:bottom w:val="single" w:sz="8" w:color="0000EE"/>
            </w:tcBorders>
            <w:gridSpan w:val="32"/>
          </w:tcPr>
          <w:p>
            <w:pPr>
              <w:spacing w:after="0" w:line="194" w:lineRule="exact"/>
              <w:rPr>
                <w:sz w:val="20"/>
                <w:szCs w:val="20"/>
                <w:color w:val="auto"/>
              </w:rPr>
            </w:pPr>
            <w:r>
              <w:rPr>
                <w:rFonts w:ascii="Times New Roman" w:cs="Times New Roman" w:eastAsia="Times New Roman" w:hAnsi="Times New Roman"/>
                <w:sz w:val="18"/>
                <w:szCs w:val="18"/>
                <w:color w:val="0000EE"/>
                <w:w w:val="98"/>
              </w:rPr>
              <w:t>Pension Benefits and Nonqualified Deferred Compensation</w:t>
            </w:r>
          </w:p>
        </w:tc>
        <w:tc>
          <w:tcPr>
            <w:tcW w:w="6220" w:type="dxa"/>
            <w:vAlign w:val="bottom"/>
            <w:gridSpan w:val="7"/>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29</w:t>
            </w:r>
          </w:p>
        </w:tc>
      </w:tr>
      <w:tr>
        <w:trPr>
          <w:trHeight w:val="193"/>
        </w:trPr>
        <w:tc>
          <w:tcPr>
            <w:tcW w:w="360" w:type="dxa"/>
            <w:vAlign w:val="bottom"/>
          </w:tcPr>
          <w:p>
            <w:pPr>
              <w:spacing w:after="0"/>
              <w:rPr>
                <w:sz w:val="16"/>
                <w:szCs w:val="16"/>
                <w:color w:val="auto"/>
              </w:rPr>
            </w:pPr>
          </w:p>
        </w:tc>
        <w:tc>
          <w:tcPr>
            <w:tcW w:w="4400" w:type="dxa"/>
            <w:vAlign w:val="bottom"/>
            <w:tcBorders>
              <w:bottom w:val="single" w:sz="8" w:color="0000EE"/>
            </w:tcBorders>
            <w:gridSpan w:val="33"/>
          </w:tcPr>
          <w:p>
            <w:pPr>
              <w:spacing w:after="0" w:line="194" w:lineRule="exact"/>
              <w:rPr>
                <w:sz w:val="20"/>
                <w:szCs w:val="20"/>
                <w:color w:val="auto"/>
              </w:rPr>
            </w:pPr>
            <w:r>
              <w:rPr>
                <w:rFonts w:ascii="Times New Roman" w:cs="Times New Roman" w:eastAsia="Times New Roman" w:hAnsi="Times New Roman"/>
                <w:sz w:val="18"/>
                <w:szCs w:val="18"/>
                <w:color w:val="0000EE"/>
                <w:w w:val="98"/>
              </w:rPr>
              <w:t>Potential Payments Upon a Termination or Change in Control</w:t>
            </w:r>
          </w:p>
        </w:tc>
        <w:tc>
          <w:tcPr>
            <w:tcW w:w="6060" w:type="dxa"/>
            <w:vAlign w:val="bottom"/>
            <w:gridSpan w:val="6"/>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29</w:t>
            </w:r>
          </w:p>
        </w:tc>
      </w:tr>
      <w:tr>
        <w:trPr>
          <w:trHeight w:val="193"/>
        </w:trPr>
        <w:tc>
          <w:tcPr>
            <w:tcW w:w="360" w:type="dxa"/>
            <w:vAlign w:val="bottom"/>
          </w:tcPr>
          <w:p>
            <w:pPr>
              <w:spacing w:after="0"/>
              <w:rPr>
                <w:sz w:val="16"/>
                <w:szCs w:val="16"/>
                <w:color w:val="auto"/>
              </w:rPr>
            </w:pPr>
          </w:p>
        </w:tc>
        <w:tc>
          <w:tcPr>
            <w:tcW w:w="2300" w:type="dxa"/>
            <w:vAlign w:val="bottom"/>
            <w:tcBorders>
              <w:bottom w:val="single" w:sz="8" w:color="0000EE"/>
            </w:tcBorders>
            <w:gridSpan w:val="18"/>
          </w:tcPr>
          <w:p>
            <w:pPr>
              <w:spacing w:after="0" w:line="194" w:lineRule="exact"/>
              <w:rPr>
                <w:sz w:val="20"/>
                <w:szCs w:val="20"/>
                <w:color w:val="auto"/>
              </w:rPr>
            </w:pPr>
            <w:r>
              <w:rPr>
                <w:rFonts w:ascii="Times New Roman" w:cs="Times New Roman" w:eastAsia="Times New Roman" w:hAnsi="Times New Roman"/>
                <w:sz w:val="18"/>
                <w:szCs w:val="18"/>
                <w:color w:val="0000EE"/>
                <w:w w:val="98"/>
              </w:rPr>
              <w:t>Summary of Potential Payments</w:t>
            </w:r>
          </w:p>
        </w:tc>
        <w:tc>
          <w:tcPr>
            <w:tcW w:w="8160" w:type="dxa"/>
            <w:vAlign w:val="bottom"/>
            <w:gridSpan w:val="21"/>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31</w:t>
            </w:r>
          </w:p>
        </w:tc>
      </w:tr>
      <w:tr>
        <w:trPr>
          <w:trHeight w:val="193"/>
        </w:trPr>
        <w:tc>
          <w:tcPr>
            <w:tcW w:w="360" w:type="dxa"/>
            <w:vAlign w:val="bottom"/>
          </w:tcPr>
          <w:p>
            <w:pPr>
              <w:spacing w:after="0"/>
              <w:rPr>
                <w:sz w:val="16"/>
                <w:szCs w:val="16"/>
                <w:color w:val="auto"/>
              </w:rPr>
            </w:pPr>
          </w:p>
        </w:tc>
        <w:tc>
          <w:tcPr>
            <w:tcW w:w="10460" w:type="dxa"/>
            <w:vAlign w:val="bottom"/>
            <w:gridSpan w:val="39"/>
          </w:tcPr>
          <w:p>
            <w:pPr>
              <w:spacing w:after="0" w:line="194" w:lineRule="exact"/>
              <w:rPr>
                <w:sz w:val="20"/>
                <w:szCs w:val="20"/>
                <w:color w:val="auto"/>
              </w:rPr>
            </w:pPr>
            <w:r>
              <w:rPr>
                <w:rFonts w:ascii="Times New Roman" w:cs="Times New Roman" w:eastAsia="Times New Roman" w:hAnsi="Times New Roman"/>
                <w:sz w:val="18"/>
                <w:szCs w:val="18"/>
                <w:color w:val="0000EE"/>
              </w:rPr>
              <w:t>Pay Ratio Disclosure</w:t>
            </w: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31</w:t>
            </w:r>
          </w:p>
        </w:tc>
      </w:tr>
      <w:tr>
        <w:trPr>
          <w:trHeight w:val="20"/>
        </w:trPr>
        <w:tc>
          <w:tcPr>
            <w:tcW w:w="360" w:type="dxa"/>
            <w:vAlign w:val="bottom"/>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1080" w:type="dxa"/>
            <w:vAlign w:val="bottom"/>
            <w:gridSpan w:val="1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2580" w:type="dxa"/>
            <w:vAlign w:val="bottom"/>
            <w:tcBorders>
              <w:bottom w:val="single" w:sz="8" w:color="0000EE"/>
            </w:tcBorders>
            <w:gridSpan w:val="20"/>
          </w:tcPr>
          <w:p>
            <w:pPr>
              <w:spacing w:after="0" w:line="194" w:lineRule="exact"/>
              <w:rPr>
                <w:sz w:val="20"/>
                <w:szCs w:val="20"/>
                <w:color w:val="auto"/>
              </w:rPr>
            </w:pPr>
            <w:r>
              <w:rPr>
                <w:rFonts w:ascii="Times New Roman" w:cs="Times New Roman" w:eastAsia="Times New Roman" w:hAnsi="Times New Roman"/>
                <w:sz w:val="18"/>
                <w:szCs w:val="18"/>
                <w:color w:val="0000EE"/>
                <w:w w:val="97"/>
              </w:rPr>
              <w:t>Pay-Versus-Performance Disclosure</w:t>
            </w:r>
          </w:p>
        </w:tc>
        <w:tc>
          <w:tcPr>
            <w:tcW w:w="7880" w:type="dxa"/>
            <w:vAlign w:val="bottom"/>
            <w:gridSpan w:val="19"/>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32</w:t>
            </w:r>
          </w:p>
        </w:tc>
      </w:tr>
      <w:tr>
        <w:trPr>
          <w:trHeight w:val="193"/>
        </w:trPr>
        <w:tc>
          <w:tcPr>
            <w:tcW w:w="360" w:type="dxa"/>
            <w:vAlign w:val="bottom"/>
          </w:tcPr>
          <w:p>
            <w:pPr>
              <w:spacing w:after="0"/>
              <w:rPr>
                <w:sz w:val="16"/>
                <w:szCs w:val="16"/>
                <w:color w:val="auto"/>
              </w:rPr>
            </w:pPr>
          </w:p>
        </w:tc>
        <w:tc>
          <w:tcPr>
            <w:tcW w:w="10460" w:type="dxa"/>
            <w:vAlign w:val="bottom"/>
            <w:gridSpan w:val="39"/>
          </w:tcPr>
          <w:p>
            <w:pPr>
              <w:spacing w:after="0" w:line="194" w:lineRule="exact"/>
              <w:rPr>
                <w:sz w:val="20"/>
                <w:szCs w:val="20"/>
                <w:color w:val="auto"/>
              </w:rPr>
            </w:pPr>
            <w:r>
              <w:rPr>
                <w:rFonts w:ascii="Times New Roman" w:cs="Times New Roman" w:eastAsia="Times New Roman" w:hAnsi="Times New Roman"/>
                <w:sz w:val="18"/>
                <w:szCs w:val="18"/>
                <w:color w:val="0000EE"/>
              </w:rPr>
              <w:t>Equity Award Timing Policies and Practices</w:t>
            </w: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35</w:t>
            </w:r>
          </w:p>
        </w:tc>
      </w:tr>
      <w:tr>
        <w:trPr>
          <w:trHeight w:val="20"/>
        </w:trPr>
        <w:tc>
          <w:tcPr>
            <w:tcW w:w="360" w:type="dxa"/>
            <w:vAlign w:val="bottom"/>
          </w:tcPr>
          <w:p>
            <w:pPr>
              <w:spacing w:after="0" w:line="20" w:lineRule="exact"/>
              <w:rPr>
                <w:sz w:val="1"/>
                <w:szCs w:val="1"/>
                <w:color w:val="auto"/>
              </w:rPr>
            </w:pPr>
          </w:p>
        </w:tc>
        <w:tc>
          <w:tcPr>
            <w:tcW w:w="2680" w:type="dxa"/>
            <w:vAlign w:val="bottom"/>
            <w:tcBorders>
              <w:right w:val="single" w:sz="8" w:color="0000EE"/>
            </w:tcBorders>
            <w:gridSpan w:val="2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193"/>
        </w:trPr>
        <w:tc>
          <w:tcPr>
            <w:tcW w:w="3040" w:type="dxa"/>
            <w:vAlign w:val="bottom"/>
            <w:tcBorders>
              <w:bottom w:val="single" w:sz="8" w:color="0000EE"/>
            </w:tcBorders>
            <w:gridSpan w:val="23"/>
          </w:tcPr>
          <w:p>
            <w:pPr>
              <w:spacing w:after="0" w:line="194" w:lineRule="exact"/>
              <w:rPr>
                <w:sz w:val="20"/>
                <w:szCs w:val="20"/>
                <w:color w:val="auto"/>
              </w:rPr>
            </w:pPr>
            <w:r>
              <w:rPr>
                <w:rFonts w:ascii="Times New Roman" w:cs="Times New Roman" w:eastAsia="Times New Roman" w:hAnsi="Times New Roman"/>
                <w:sz w:val="18"/>
                <w:szCs w:val="18"/>
                <w:color w:val="0000EE"/>
                <w:w w:val="98"/>
              </w:rPr>
              <w:t>COMPENSATION RISK ASSESSMENT</w:t>
            </w:r>
          </w:p>
        </w:tc>
        <w:tc>
          <w:tcPr>
            <w:tcW w:w="7780" w:type="dxa"/>
            <w:vAlign w:val="bottom"/>
            <w:gridSpan w:val="17"/>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35</w:t>
            </w:r>
          </w:p>
        </w:tc>
      </w:tr>
      <w:tr>
        <w:trPr>
          <w:trHeight w:val="193"/>
        </w:trPr>
        <w:tc>
          <w:tcPr>
            <w:tcW w:w="3200" w:type="dxa"/>
            <w:vAlign w:val="bottom"/>
            <w:tcBorders>
              <w:bottom w:val="single" w:sz="8" w:color="0000EE"/>
            </w:tcBorders>
            <w:gridSpan w:val="25"/>
          </w:tcPr>
          <w:p>
            <w:pPr>
              <w:spacing w:after="0" w:line="194" w:lineRule="exact"/>
              <w:rPr>
                <w:sz w:val="20"/>
                <w:szCs w:val="20"/>
                <w:color w:val="auto"/>
              </w:rPr>
            </w:pPr>
            <w:r>
              <w:rPr>
                <w:rFonts w:ascii="Times New Roman" w:cs="Times New Roman" w:eastAsia="Times New Roman" w:hAnsi="Times New Roman"/>
                <w:sz w:val="18"/>
                <w:szCs w:val="18"/>
                <w:color w:val="0000EE"/>
                <w:w w:val="97"/>
              </w:rPr>
              <w:t>COMPENSATION COMMITTEE REPORT</w:t>
            </w:r>
          </w:p>
        </w:tc>
        <w:tc>
          <w:tcPr>
            <w:tcW w:w="7620" w:type="dxa"/>
            <w:vAlign w:val="bottom"/>
            <w:gridSpan w:val="15"/>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0000EE"/>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36</w:t>
            </w:r>
          </w:p>
        </w:tc>
      </w:tr>
      <w:tr>
        <w:trPr>
          <w:trHeight w:val="193"/>
        </w:trPr>
        <w:tc>
          <w:tcPr>
            <w:tcW w:w="10820" w:type="dxa"/>
            <w:vAlign w:val="bottom"/>
            <w:gridSpan w:val="40"/>
          </w:tcPr>
          <w:p>
            <w:pPr>
              <w:spacing w:after="0" w:line="194" w:lineRule="exact"/>
              <w:rPr>
                <w:sz w:val="20"/>
                <w:szCs w:val="20"/>
                <w:color w:val="auto"/>
              </w:rPr>
            </w:pPr>
            <w:r>
              <w:rPr>
                <w:rFonts w:ascii="Times New Roman" w:cs="Times New Roman" w:eastAsia="Times New Roman" w:hAnsi="Times New Roman"/>
                <w:sz w:val="18"/>
                <w:szCs w:val="18"/>
                <w:color w:val="0000EE"/>
              </w:rPr>
              <w:t>EQUITY COMPENSATION PLAN INFORMATION</w:t>
            </w:r>
          </w:p>
        </w:tc>
        <w:tc>
          <w:tcPr>
            <w:tcW w:w="4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36</w:t>
            </w:r>
          </w:p>
        </w:tc>
      </w:tr>
      <w:tr>
        <w:trPr>
          <w:trHeight w:val="193"/>
        </w:trPr>
        <w:tc>
          <w:tcPr>
            <w:tcW w:w="360" w:type="dxa"/>
            <w:vAlign w:val="bottom"/>
            <w:tcBorders>
              <w:top w:val="single" w:sz="8" w:color="0000EE"/>
            </w:tcBorders>
          </w:tcPr>
          <w:p>
            <w:pPr>
              <w:spacing w:after="0"/>
              <w:rPr>
                <w:sz w:val="16"/>
                <w:szCs w:val="16"/>
                <w:color w:val="auto"/>
              </w:rPr>
            </w:pPr>
          </w:p>
        </w:tc>
        <w:tc>
          <w:tcPr>
            <w:tcW w:w="3500" w:type="dxa"/>
            <w:vAlign w:val="bottom"/>
            <w:tcBorders>
              <w:top w:val="single" w:sz="8" w:color="0000EE"/>
            </w:tcBorders>
            <w:gridSpan w:val="29"/>
          </w:tcPr>
          <w:p>
            <w:pPr>
              <w:spacing w:after="0" w:line="194" w:lineRule="exact"/>
              <w:rPr>
                <w:sz w:val="20"/>
                <w:szCs w:val="20"/>
                <w:color w:val="auto"/>
              </w:rPr>
            </w:pPr>
            <w:r>
              <w:rPr>
                <w:rFonts w:ascii="Times New Roman" w:cs="Times New Roman" w:eastAsia="Times New Roman" w:hAnsi="Times New Roman"/>
                <w:sz w:val="18"/>
                <w:szCs w:val="18"/>
                <w:color w:val="0000EE"/>
              </w:rPr>
              <w:t>2017 Employment Inducement Award Plan</w:t>
            </w:r>
          </w:p>
        </w:tc>
        <w:tc>
          <w:tcPr>
            <w:tcW w:w="6960" w:type="dxa"/>
            <w:vAlign w:val="bottom"/>
            <w:gridSpan w:val="10"/>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0000EE"/>
            </w:tcBorders>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36</w:t>
            </w:r>
          </w:p>
        </w:tc>
      </w:tr>
      <w:tr>
        <w:trPr>
          <w:trHeight w:val="587"/>
        </w:trPr>
        <w:tc>
          <w:tcPr>
            <w:tcW w:w="360" w:type="dxa"/>
            <w:vAlign w:val="bottom"/>
            <w:tcBorders>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106"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07"/>
        </w:trPr>
        <w:tc>
          <w:tcPr>
            <w:tcW w:w="14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6"/>
              </w:rPr>
              <w:t>AUDIT MATTERS</w:t>
            </w:r>
          </w:p>
        </w:tc>
        <w:tc>
          <w:tcPr>
            <w:tcW w:w="9100" w:type="dxa"/>
            <w:vAlign w:val="bottom"/>
            <w:gridSpan w:val="18"/>
          </w:tcPr>
          <w:p>
            <w:pPr>
              <w:spacing w:after="0"/>
              <w:rPr>
                <w:sz w:val="24"/>
                <w:szCs w:val="24"/>
                <w:color w:val="auto"/>
              </w:rPr>
            </w:pPr>
          </w:p>
        </w:tc>
        <w:tc>
          <w:tcPr>
            <w:tcW w:w="540" w:type="dxa"/>
            <w:vAlign w:val="bottom"/>
            <w:gridSpan w:val="3"/>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38</w:t>
            </w:r>
          </w:p>
        </w:tc>
      </w:tr>
      <w:tr>
        <w:trPr>
          <w:trHeight w:val="193"/>
        </w:trPr>
        <w:tc>
          <w:tcPr>
            <w:tcW w:w="360" w:type="dxa"/>
            <w:vAlign w:val="bottom"/>
          </w:tcPr>
          <w:p>
            <w:pPr>
              <w:spacing w:after="0"/>
              <w:rPr>
                <w:sz w:val="16"/>
                <w:szCs w:val="16"/>
                <w:color w:val="auto"/>
              </w:rPr>
            </w:pPr>
          </w:p>
        </w:tc>
        <w:tc>
          <w:tcPr>
            <w:tcW w:w="1780" w:type="dxa"/>
            <w:vAlign w:val="bottom"/>
            <w:tcBorders>
              <w:bottom w:val="single" w:sz="8" w:color="0000EE"/>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EE"/>
                <w:w w:val="98"/>
              </w:rPr>
              <w:t>Audit Committee Report</w:t>
            </w:r>
          </w:p>
        </w:tc>
        <w:tc>
          <w:tcPr>
            <w:tcW w:w="8380" w:type="dxa"/>
            <w:vAlign w:val="bottom"/>
            <w:gridSpan w:val="13"/>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38</w:t>
            </w:r>
          </w:p>
        </w:tc>
      </w:tr>
      <w:tr>
        <w:trPr>
          <w:trHeight w:val="193"/>
        </w:trPr>
        <w:tc>
          <w:tcPr>
            <w:tcW w:w="360" w:type="dxa"/>
            <w:vAlign w:val="bottom"/>
          </w:tcPr>
          <w:p>
            <w:pPr>
              <w:spacing w:after="0"/>
              <w:rPr>
                <w:sz w:val="16"/>
                <w:szCs w:val="16"/>
                <w:color w:val="auto"/>
              </w:rPr>
            </w:pPr>
          </w:p>
        </w:tc>
        <w:tc>
          <w:tcPr>
            <w:tcW w:w="1900" w:type="dxa"/>
            <w:vAlign w:val="bottom"/>
            <w:tcBorders>
              <w:bottom w:val="single" w:sz="8" w:color="0000EE"/>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EE"/>
                <w:w w:val="98"/>
              </w:rPr>
              <w:t>Audit and Non-Audit Fees</w:t>
            </w:r>
          </w:p>
        </w:tc>
        <w:tc>
          <w:tcPr>
            <w:tcW w:w="8260" w:type="dxa"/>
            <w:vAlign w:val="bottom"/>
            <w:gridSpan w:val="12"/>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38</w:t>
            </w:r>
          </w:p>
        </w:tc>
      </w:tr>
      <w:tr>
        <w:trPr>
          <w:trHeight w:val="193"/>
        </w:trPr>
        <w:tc>
          <w:tcPr>
            <w:tcW w:w="360" w:type="dxa"/>
            <w:vAlign w:val="bottom"/>
          </w:tcPr>
          <w:p>
            <w:pPr>
              <w:spacing w:after="0"/>
              <w:rPr>
                <w:sz w:val="16"/>
                <w:szCs w:val="16"/>
                <w:color w:val="auto"/>
              </w:rPr>
            </w:pPr>
          </w:p>
        </w:tc>
        <w:tc>
          <w:tcPr>
            <w:tcW w:w="78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6"/>
              </w:rPr>
              <w:t>Audit Fees</w:t>
            </w:r>
          </w:p>
        </w:tc>
        <w:tc>
          <w:tcPr>
            <w:tcW w:w="9380" w:type="dxa"/>
            <w:vAlign w:val="bottom"/>
            <w:gridSpan w:val="20"/>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38</w:t>
            </w:r>
          </w:p>
        </w:tc>
      </w:tr>
      <w:tr>
        <w:trPr>
          <w:trHeight w:val="193"/>
        </w:trPr>
        <w:tc>
          <w:tcPr>
            <w:tcW w:w="360" w:type="dxa"/>
            <w:vAlign w:val="bottom"/>
          </w:tcPr>
          <w:p>
            <w:pPr>
              <w:spacing w:after="0"/>
              <w:rPr>
                <w:sz w:val="16"/>
                <w:szCs w:val="16"/>
                <w:color w:val="auto"/>
              </w:rPr>
            </w:pPr>
          </w:p>
        </w:tc>
        <w:tc>
          <w:tcPr>
            <w:tcW w:w="640" w:type="dxa"/>
            <w:vAlign w:val="bottom"/>
            <w:tcBorders>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w w:val="94"/>
              </w:rPr>
              <w:t>Tax Fees</w:t>
            </w:r>
          </w:p>
        </w:tc>
        <w:tc>
          <w:tcPr>
            <w:tcW w:w="9520" w:type="dxa"/>
            <w:vAlign w:val="bottom"/>
            <w:gridSpan w:val="21"/>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38</w:t>
            </w:r>
          </w:p>
        </w:tc>
      </w:tr>
      <w:tr>
        <w:trPr>
          <w:trHeight w:val="193"/>
        </w:trPr>
        <w:tc>
          <w:tcPr>
            <w:tcW w:w="360" w:type="dxa"/>
            <w:vAlign w:val="bottom"/>
          </w:tcPr>
          <w:p>
            <w:pPr>
              <w:spacing w:after="0"/>
              <w:rPr>
                <w:sz w:val="16"/>
                <w:szCs w:val="16"/>
                <w:color w:val="auto"/>
              </w:rPr>
            </w:pPr>
          </w:p>
        </w:tc>
        <w:tc>
          <w:tcPr>
            <w:tcW w:w="2720" w:type="dxa"/>
            <w:vAlign w:val="bottom"/>
            <w:tcBorders>
              <w:bottom w:val="single" w:sz="8" w:color="0000EE"/>
            </w:tcBorders>
            <w:gridSpan w:val="16"/>
          </w:tcPr>
          <w:p>
            <w:pPr>
              <w:spacing w:after="0" w:line="194" w:lineRule="exact"/>
              <w:rPr>
                <w:sz w:val="20"/>
                <w:szCs w:val="20"/>
                <w:color w:val="auto"/>
              </w:rPr>
            </w:pPr>
            <w:r>
              <w:rPr>
                <w:rFonts w:ascii="Times New Roman" w:cs="Times New Roman" w:eastAsia="Times New Roman" w:hAnsi="Times New Roman"/>
                <w:sz w:val="18"/>
                <w:szCs w:val="18"/>
                <w:color w:val="0000EE"/>
                <w:w w:val="98"/>
              </w:rPr>
              <w:t>Pre-Approval Policies and Procedures</w:t>
            </w:r>
          </w:p>
        </w:tc>
        <w:tc>
          <w:tcPr>
            <w:tcW w:w="7440" w:type="dxa"/>
            <w:vAlign w:val="bottom"/>
            <w:gridSpan w:val="8"/>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39</w:t>
            </w:r>
          </w:p>
        </w:tc>
      </w:tr>
      <w:tr>
        <w:trPr>
          <w:trHeight w:val="193"/>
        </w:trPr>
        <w:tc>
          <w:tcPr>
            <w:tcW w:w="8780" w:type="dxa"/>
            <w:vAlign w:val="bottom"/>
            <w:tcBorders>
              <w:bottom w:val="single" w:sz="8" w:color="0000EE"/>
            </w:tcBorders>
            <w:gridSpan w:val="22"/>
          </w:tcPr>
          <w:p>
            <w:pPr>
              <w:spacing w:after="0" w:line="194" w:lineRule="exact"/>
              <w:rPr>
                <w:sz w:val="20"/>
                <w:szCs w:val="20"/>
                <w:color w:val="auto"/>
              </w:rPr>
            </w:pPr>
            <w:r>
              <w:rPr>
                <w:rFonts w:ascii="Times New Roman" w:cs="Times New Roman" w:eastAsia="Times New Roman" w:hAnsi="Times New Roman"/>
                <w:sz w:val="18"/>
                <w:szCs w:val="18"/>
                <w:color w:val="0000EE"/>
                <w:w w:val="98"/>
              </w:rPr>
              <w:t>PROPOSAL 2 – RATIFICATION OF SELECTION OF INDEPENDENT REGISTERED PUBLIC ACCOUNTING FIRM</w:t>
            </w:r>
          </w:p>
        </w:tc>
        <w:tc>
          <w:tcPr>
            <w:tcW w:w="1740" w:type="dxa"/>
            <w:vAlign w:val="bottom"/>
            <w:gridSpan w:val="3"/>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39</w:t>
            </w:r>
          </w:p>
        </w:tc>
      </w:tr>
      <w:tr>
        <w:trPr>
          <w:trHeight w:val="193"/>
        </w:trPr>
        <w:tc>
          <w:tcPr>
            <w:tcW w:w="360" w:type="dxa"/>
            <w:vAlign w:val="bottom"/>
          </w:tcPr>
          <w:p>
            <w:pPr>
              <w:spacing w:after="0"/>
              <w:rPr>
                <w:sz w:val="16"/>
                <w:szCs w:val="16"/>
                <w:color w:val="auto"/>
              </w:rPr>
            </w:pPr>
          </w:p>
        </w:tc>
        <w:tc>
          <w:tcPr>
            <w:tcW w:w="90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7"/>
              </w:rPr>
              <w:t>Background</w:t>
            </w:r>
          </w:p>
        </w:tc>
        <w:tc>
          <w:tcPr>
            <w:tcW w:w="9260" w:type="dxa"/>
            <w:vAlign w:val="bottom"/>
            <w:gridSpan w:val="19"/>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39</w:t>
            </w:r>
          </w:p>
        </w:tc>
      </w:tr>
      <w:tr>
        <w:trPr>
          <w:trHeight w:val="193"/>
        </w:trPr>
        <w:tc>
          <w:tcPr>
            <w:tcW w:w="360" w:type="dxa"/>
            <w:vAlign w:val="bottom"/>
          </w:tcPr>
          <w:p>
            <w:pPr>
              <w:spacing w:after="0"/>
              <w:rPr>
                <w:sz w:val="16"/>
                <w:szCs w:val="16"/>
                <w:color w:val="auto"/>
              </w:rPr>
            </w:pPr>
          </w:p>
        </w:tc>
        <w:tc>
          <w:tcPr>
            <w:tcW w:w="1740" w:type="dxa"/>
            <w:vAlign w:val="bottom"/>
            <w:tcBorders>
              <w:bottom w:val="single" w:sz="8" w:color="0000EE"/>
            </w:tcBorders>
            <w:gridSpan w:val="10"/>
          </w:tcPr>
          <w:p>
            <w:pPr>
              <w:spacing w:after="0" w:line="194" w:lineRule="exact"/>
              <w:rPr>
                <w:sz w:val="20"/>
                <w:szCs w:val="20"/>
                <w:color w:val="auto"/>
              </w:rPr>
            </w:pPr>
            <w:r>
              <w:rPr>
                <w:rFonts w:ascii="Times New Roman" w:cs="Times New Roman" w:eastAsia="Times New Roman" w:hAnsi="Times New Roman"/>
                <w:sz w:val="18"/>
                <w:szCs w:val="18"/>
                <w:color w:val="0000EE"/>
                <w:w w:val="97"/>
              </w:rPr>
              <w:t>Board Recommendation</w:t>
            </w:r>
          </w:p>
        </w:tc>
        <w:tc>
          <w:tcPr>
            <w:tcW w:w="8420" w:type="dxa"/>
            <w:vAlign w:val="bottom"/>
            <w:gridSpan w:val="14"/>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39</w:t>
            </w:r>
          </w:p>
        </w:tc>
      </w:tr>
      <w:tr>
        <w:trPr>
          <w:trHeight w:val="193"/>
        </w:trPr>
        <w:tc>
          <w:tcPr>
            <w:tcW w:w="10100" w:type="dxa"/>
            <w:vAlign w:val="bottom"/>
            <w:tcBorders>
              <w:bottom w:val="single" w:sz="8" w:color="0000EE"/>
            </w:tcBorders>
            <w:gridSpan w:val="24"/>
          </w:tcPr>
          <w:p>
            <w:pPr>
              <w:spacing w:after="0" w:line="194" w:lineRule="exact"/>
              <w:rPr>
                <w:sz w:val="20"/>
                <w:szCs w:val="20"/>
                <w:color w:val="auto"/>
              </w:rPr>
            </w:pPr>
            <w:r>
              <w:rPr>
                <w:rFonts w:ascii="Times New Roman" w:cs="Times New Roman" w:eastAsia="Times New Roman" w:hAnsi="Times New Roman"/>
                <w:sz w:val="18"/>
                <w:szCs w:val="18"/>
                <w:color w:val="0000EE"/>
                <w:w w:val="97"/>
              </w:rPr>
              <w:t>PROPOSAL 3 – ADVISORY VOTE TO APPROVE THE COMPENSATION OF OUR NAMED EXECUTIVE OFFICERS (“SAY-ON-PAY</w:t>
            </w: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62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6"/>
              </w:rPr>
              <w:t>VOTE”)</w:t>
            </w:r>
          </w:p>
        </w:tc>
        <w:tc>
          <w:tcPr>
            <w:tcW w:w="9900" w:type="dxa"/>
            <w:vAlign w:val="bottom"/>
            <w:gridSpan w:val="23"/>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39</w:t>
            </w:r>
          </w:p>
        </w:tc>
      </w:tr>
      <w:tr>
        <w:trPr>
          <w:trHeight w:val="193"/>
        </w:trPr>
        <w:tc>
          <w:tcPr>
            <w:tcW w:w="360" w:type="dxa"/>
            <w:vAlign w:val="bottom"/>
          </w:tcPr>
          <w:p>
            <w:pPr>
              <w:spacing w:after="0"/>
              <w:rPr>
                <w:sz w:val="16"/>
                <w:szCs w:val="16"/>
                <w:color w:val="auto"/>
              </w:rPr>
            </w:pPr>
          </w:p>
        </w:tc>
        <w:tc>
          <w:tcPr>
            <w:tcW w:w="90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7"/>
              </w:rPr>
              <w:t>Background</w:t>
            </w:r>
          </w:p>
        </w:tc>
        <w:tc>
          <w:tcPr>
            <w:tcW w:w="9260" w:type="dxa"/>
            <w:vAlign w:val="bottom"/>
            <w:gridSpan w:val="19"/>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39</w:t>
            </w:r>
          </w:p>
        </w:tc>
      </w:tr>
      <w:tr>
        <w:trPr>
          <w:trHeight w:val="193"/>
        </w:trPr>
        <w:tc>
          <w:tcPr>
            <w:tcW w:w="360" w:type="dxa"/>
            <w:vAlign w:val="bottom"/>
          </w:tcPr>
          <w:p>
            <w:pPr>
              <w:spacing w:after="0"/>
              <w:rPr>
                <w:sz w:val="16"/>
                <w:szCs w:val="16"/>
                <w:color w:val="auto"/>
              </w:rPr>
            </w:pPr>
          </w:p>
        </w:tc>
        <w:tc>
          <w:tcPr>
            <w:tcW w:w="1740" w:type="dxa"/>
            <w:vAlign w:val="bottom"/>
            <w:tcBorders>
              <w:bottom w:val="single" w:sz="8" w:color="0000EE"/>
            </w:tcBorders>
            <w:gridSpan w:val="10"/>
          </w:tcPr>
          <w:p>
            <w:pPr>
              <w:spacing w:after="0" w:line="194" w:lineRule="exact"/>
              <w:rPr>
                <w:sz w:val="20"/>
                <w:szCs w:val="20"/>
                <w:color w:val="auto"/>
              </w:rPr>
            </w:pPr>
            <w:r>
              <w:rPr>
                <w:rFonts w:ascii="Times New Roman" w:cs="Times New Roman" w:eastAsia="Times New Roman" w:hAnsi="Times New Roman"/>
                <w:sz w:val="18"/>
                <w:szCs w:val="18"/>
                <w:color w:val="0000EE"/>
                <w:w w:val="97"/>
              </w:rPr>
              <w:t>Board Recommendation</w:t>
            </w:r>
          </w:p>
        </w:tc>
        <w:tc>
          <w:tcPr>
            <w:tcW w:w="8420" w:type="dxa"/>
            <w:vAlign w:val="bottom"/>
            <w:gridSpan w:val="14"/>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39</w:t>
            </w:r>
          </w:p>
        </w:tc>
      </w:tr>
      <w:tr>
        <w:trPr>
          <w:trHeight w:val="193"/>
        </w:trPr>
        <w:tc>
          <w:tcPr>
            <w:tcW w:w="9040" w:type="dxa"/>
            <w:vAlign w:val="bottom"/>
            <w:tcBorders>
              <w:bottom w:val="single" w:sz="8" w:color="0000EE"/>
            </w:tcBorders>
            <w:gridSpan w:val="23"/>
          </w:tcPr>
          <w:p>
            <w:pPr>
              <w:spacing w:after="0" w:line="194" w:lineRule="exact"/>
              <w:rPr>
                <w:sz w:val="20"/>
                <w:szCs w:val="20"/>
                <w:color w:val="auto"/>
              </w:rPr>
            </w:pPr>
            <w:r>
              <w:rPr>
                <w:rFonts w:ascii="Times New Roman" w:cs="Times New Roman" w:eastAsia="Times New Roman" w:hAnsi="Times New Roman"/>
                <w:sz w:val="18"/>
                <w:szCs w:val="18"/>
                <w:color w:val="0000EE"/>
                <w:w w:val="98"/>
              </w:rPr>
              <w:t>PROPOSAL 4 – APPROVAL OF EXTENDING THE TERM OF THE AUERBACH WARRANT UNTIL OCTOBER 4, 2028</w:t>
            </w:r>
          </w:p>
        </w:tc>
        <w:tc>
          <w:tcPr>
            <w:tcW w:w="1480" w:type="dxa"/>
            <w:vAlign w:val="bottom"/>
            <w:gridSpan w:val="2"/>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40</w:t>
            </w:r>
          </w:p>
        </w:tc>
      </w:tr>
      <w:tr>
        <w:trPr>
          <w:trHeight w:val="193"/>
        </w:trPr>
        <w:tc>
          <w:tcPr>
            <w:tcW w:w="880" w:type="dxa"/>
            <w:vAlign w:val="bottom"/>
            <w:tcBorders>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w w:val="97"/>
              </w:rPr>
              <w:t>Background</w:t>
            </w:r>
          </w:p>
        </w:tc>
        <w:tc>
          <w:tcPr>
            <w:tcW w:w="9640" w:type="dxa"/>
            <w:vAlign w:val="bottom"/>
            <w:gridSpan w:val="22"/>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40</w:t>
            </w:r>
          </w:p>
        </w:tc>
      </w:tr>
      <w:tr>
        <w:trPr>
          <w:trHeight w:val="193"/>
        </w:trPr>
        <w:tc>
          <w:tcPr>
            <w:tcW w:w="10520" w:type="dxa"/>
            <w:vAlign w:val="bottom"/>
            <w:gridSpan w:val="25"/>
          </w:tcPr>
          <w:p>
            <w:pPr>
              <w:spacing w:after="0" w:line="194" w:lineRule="exact"/>
              <w:rPr>
                <w:sz w:val="20"/>
                <w:szCs w:val="20"/>
                <w:color w:val="auto"/>
              </w:rPr>
            </w:pPr>
            <w:r>
              <w:rPr>
                <w:rFonts w:ascii="Times New Roman" w:cs="Times New Roman" w:eastAsia="Times New Roman" w:hAnsi="Times New Roman"/>
                <w:sz w:val="18"/>
                <w:szCs w:val="18"/>
                <w:color w:val="0000EE"/>
              </w:rPr>
              <w:t>Board Recommendation</w:t>
            </w:r>
          </w:p>
        </w:tc>
        <w:tc>
          <w:tcPr>
            <w:tcW w:w="7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41</w:t>
            </w:r>
          </w:p>
        </w:tc>
      </w:tr>
      <w:tr>
        <w:trPr>
          <w:trHeight w:val="193"/>
        </w:trPr>
        <w:tc>
          <w:tcPr>
            <w:tcW w:w="1460" w:type="dxa"/>
            <w:vAlign w:val="bottom"/>
            <w:tcBorders>
              <w:top w:val="single" w:sz="8" w:color="0000EE"/>
              <w:bottom w:val="single" w:sz="8" w:color="0000EE"/>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EE"/>
                <w:w w:val="96"/>
              </w:rPr>
              <w:t>OTHER MATTERS</w:t>
            </w:r>
          </w:p>
        </w:tc>
        <w:tc>
          <w:tcPr>
            <w:tcW w:w="280" w:type="dxa"/>
            <w:vAlign w:val="bottom"/>
            <w:tcBorders>
              <w:top w:val="single" w:sz="8" w:color="0000EE"/>
            </w:tcBorders>
          </w:tcPr>
          <w:p>
            <w:pPr>
              <w:spacing w:after="0"/>
              <w:rPr>
                <w:sz w:val="16"/>
                <w:szCs w:val="16"/>
                <w:color w:val="auto"/>
              </w:rPr>
            </w:pPr>
          </w:p>
        </w:tc>
        <w:tc>
          <w:tcPr>
            <w:tcW w:w="8780" w:type="dxa"/>
            <w:vAlign w:val="bottom"/>
            <w:gridSpan w:val="15"/>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top w:val="single" w:sz="8" w:color="0000EE"/>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42</w:t>
            </w:r>
          </w:p>
        </w:tc>
      </w:tr>
      <w:tr>
        <w:trPr>
          <w:trHeight w:val="193"/>
        </w:trPr>
        <w:tc>
          <w:tcPr>
            <w:tcW w:w="360" w:type="dxa"/>
            <w:vAlign w:val="bottom"/>
          </w:tcPr>
          <w:p>
            <w:pPr>
              <w:spacing w:after="0"/>
              <w:rPr>
                <w:sz w:val="16"/>
                <w:szCs w:val="16"/>
                <w:color w:val="auto"/>
              </w:rPr>
            </w:pPr>
          </w:p>
        </w:tc>
        <w:tc>
          <w:tcPr>
            <w:tcW w:w="7060" w:type="dxa"/>
            <w:vAlign w:val="bottom"/>
            <w:tcBorders>
              <w:bottom w:val="single" w:sz="8" w:color="0000EE"/>
            </w:tcBorders>
            <w:gridSpan w:val="20"/>
          </w:tcPr>
          <w:p>
            <w:pPr>
              <w:spacing w:after="0" w:line="194" w:lineRule="exact"/>
              <w:rPr>
                <w:sz w:val="20"/>
                <w:szCs w:val="20"/>
                <w:color w:val="auto"/>
              </w:rPr>
            </w:pPr>
            <w:r>
              <w:rPr>
                <w:rFonts w:ascii="Times New Roman" w:cs="Times New Roman" w:eastAsia="Times New Roman" w:hAnsi="Times New Roman"/>
                <w:sz w:val="18"/>
                <w:szCs w:val="18"/>
                <w:color w:val="0000EE"/>
                <w:w w:val="98"/>
              </w:rPr>
              <w:t>Policies and Procedures for Review, Approval or Ratification of Transactions with Related Persons</w:t>
            </w:r>
          </w:p>
        </w:tc>
        <w:tc>
          <w:tcPr>
            <w:tcW w:w="3100" w:type="dxa"/>
            <w:vAlign w:val="bottom"/>
            <w:gridSpan w:val="4"/>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42</w:t>
            </w:r>
          </w:p>
        </w:tc>
      </w:tr>
      <w:tr>
        <w:trPr>
          <w:trHeight w:val="193"/>
        </w:trPr>
        <w:tc>
          <w:tcPr>
            <w:tcW w:w="360" w:type="dxa"/>
            <w:vAlign w:val="bottom"/>
          </w:tcPr>
          <w:p>
            <w:pPr>
              <w:spacing w:after="0"/>
              <w:rPr>
                <w:sz w:val="16"/>
                <w:szCs w:val="16"/>
                <w:color w:val="auto"/>
              </w:rPr>
            </w:pPr>
          </w:p>
        </w:tc>
        <w:tc>
          <w:tcPr>
            <w:tcW w:w="1016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Stockholder Proposals and Nominations</w:t>
            </w:r>
          </w:p>
        </w:tc>
        <w:tc>
          <w:tcPr>
            <w:tcW w:w="7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42</w:t>
            </w:r>
          </w:p>
        </w:tc>
      </w:tr>
      <w:tr>
        <w:trPr>
          <w:trHeight w:val="193"/>
        </w:trPr>
        <w:tc>
          <w:tcPr>
            <w:tcW w:w="360" w:type="dxa"/>
            <w:vAlign w:val="bottom"/>
          </w:tcPr>
          <w:p>
            <w:pPr>
              <w:spacing w:after="0"/>
              <w:rPr>
                <w:sz w:val="16"/>
                <w:szCs w:val="16"/>
                <w:color w:val="auto"/>
              </w:rPr>
            </w:pPr>
          </w:p>
        </w:tc>
        <w:tc>
          <w:tcPr>
            <w:tcW w:w="2380" w:type="dxa"/>
            <w:vAlign w:val="bottom"/>
            <w:tcBorders>
              <w:top w:val="single" w:sz="8" w:color="0000EE"/>
              <w:bottom w:val="single" w:sz="8" w:color="0000EE"/>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480" w:type="dxa"/>
            <w:vAlign w:val="bottom"/>
            <w:tcBorders>
              <w:top w:val="single" w:sz="8" w:color="0000EE"/>
            </w:tcBorders>
            <w:gridSpan w:val="2"/>
          </w:tcPr>
          <w:p>
            <w:pPr>
              <w:spacing w:after="0"/>
              <w:rPr>
                <w:sz w:val="16"/>
                <w:szCs w:val="16"/>
                <w:color w:val="auto"/>
              </w:rPr>
            </w:pPr>
          </w:p>
        </w:tc>
        <w:tc>
          <w:tcPr>
            <w:tcW w:w="7300" w:type="dxa"/>
            <w:vAlign w:val="bottom"/>
            <w:gridSpan w:val="7"/>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top w:val="single" w:sz="8" w:color="0000EE"/>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42</w:t>
            </w:r>
          </w:p>
        </w:tc>
      </w:tr>
      <w:tr>
        <w:trPr>
          <w:trHeight w:val="193"/>
        </w:trPr>
        <w:tc>
          <w:tcPr>
            <w:tcW w:w="360" w:type="dxa"/>
            <w:vAlign w:val="bottom"/>
          </w:tcPr>
          <w:p>
            <w:pPr>
              <w:spacing w:after="0"/>
              <w:rPr>
                <w:sz w:val="16"/>
                <w:szCs w:val="16"/>
                <w:color w:val="auto"/>
              </w:rPr>
            </w:pPr>
          </w:p>
        </w:tc>
        <w:tc>
          <w:tcPr>
            <w:tcW w:w="1960" w:type="dxa"/>
            <w:vAlign w:val="bottom"/>
            <w:tcBorders>
              <w:bottom w:val="single" w:sz="8" w:color="0000EE"/>
            </w:tcBorders>
            <w:gridSpan w:val="13"/>
          </w:tcPr>
          <w:p>
            <w:pPr>
              <w:spacing w:after="0" w:line="194" w:lineRule="exact"/>
              <w:rPr>
                <w:sz w:val="20"/>
                <w:szCs w:val="20"/>
                <w:color w:val="auto"/>
              </w:rPr>
            </w:pPr>
            <w:r>
              <w:rPr>
                <w:rFonts w:ascii="Times New Roman" w:cs="Times New Roman" w:eastAsia="Times New Roman" w:hAnsi="Times New Roman"/>
                <w:sz w:val="18"/>
                <w:szCs w:val="18"/>
                <w:color w:val="0000EE"/>
                <w:w w:val="97"/>
              </w:rPr>
              <w:t>Incorporation by Reference</w:t>
            </w:r>
          </w:p>
        </w:tc>
        <w:tc>
          <w:tcPr>
            <w:tcW w:w="8200" w:type="dxa"/>
            <w:vAlign w:val="bottom"/>
            <w:gridSpan w:val="11"/>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43</w:t>
            </w:r>
          </w:p>
        </w:tc>
      </w:tr>
      <w:tr>
        <w:trPr>
          <w:trHeight w:val="193"/>
        </w:trPr>
        <w:tc>
          <w:tcPr>
            <w:tcW w:w="360" w:type="dxa"/>
            <w:vAlign w:val="bottom"/>
          </w:tcPr>
          <w:p>
            <w:pPr>
              <w:spacing w:after="0"/>
              <w:rPr>
                <w:sz w:val="16"/>
                <w:szCs w:val="16"/>
                <w:color w:val="auto"/>
              </w:rPr>
            </w:pPr>
          </w:p>
        </w:tc>
        <w:tc>
          <w:tcPr>
            <w:tcW w:w="2100" w:type="dxa"/>
            <w:vAlign w:val="bottom"/>
            <w:tcBorders>
              <w:bottom w:val="single" w:sz="8" w:color="0000EE"/>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EE"/>
                <w:w w:val="98"/>
              </w:rPr>
              <w:t>Forward-Looking Statements</w:t>
            </w:r>
          </w:p>
        </w:tc>
        <w:tc>
          <w:tcPr>
            <w:tcW w:w="8060" w:type="dxa"/>
            <w:vAlign w:val="bottom"/>
            <w:gridSpan w:val="10"/>
          </w:tcPr>
          <w:p>
            <w:pPr>
              <w:spacing w:after="0"/>
              <w:rPr>
                <w:sz w:val="16"/>
                <w:szCs w:val="16"/>
                <w:color w:val="auto"/>
              </w:rPr>
            </w:pPr>
          </w:p>
        </w:tc>
        <w:tc>
          <w:tcPr>
            <w:tcW w:w="540" w:type="dxa"/>
            <w:vAlign w:val="bottom"/>
            <w:gridSpan w:val="3"/>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43</w:t>
            </w:r>
          </w:p>
        </w:tc>
      </w:tr>
      <w:tr>
        <w:trPr>
          <w:trHeight w:val="193"/>
        </w:trPr>
        <w:tc>
          <w:tcPr>
            <w:tcW w:w="360" w:type="dxa"/>
            <w:vAlign w:val="bottom"/>
          </w:tcPr>
          <w:p>
            <w:pPr>
              <w:spacing w:after="0"/>
              <w:rPr>
                <w:sz w:val="16"/>
                <w:szCs w:val="16"/>
                <w:color w:val="auto"/>
              </w:rPr>
            </w:pPr>
          </w:p>
        </w:tc>
        <w:tc>
          <w:tcPr>
            <w:tcW w:w="1016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Other Business</w:t>
            </w:r>
          </w:p>
        </w:tc>
        <w:tc>
          <w:tcPr>
            <w:tcW w:w="7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43</w:t>
            </w:r>
          </w:p>
        </w:tc>
      </w:tr>
      <w:tr>
        <w:trPr>
          <w:trHeight w:val="20"/>
        </w:trPr>
        <w:tc>
          <w:tcPr>
            <w:tcW w:w="360" w:type="dxa"/>
            <w:vAlign w:val="bottom"/>
          </w:tcPr>
          <w:p>
            <w:pPr>
              <w:spacing w:after="0" w:line="20" w:lineRule="exact"/>
              <w:rPr>
                <w:sz w:val="1"/>
                <w:szCs w:val="1"/>
                <w:color w:val="auto"/>
              </w:rPr>
            </w:pPr>
          </w:p>
        </w:tc>
        <w:tc>
          <w:tcPr>
            <w:tcW w:w="1080" w:type="dxa"/>
            <w:vAlign w:val="bottom"/>
            <w:gridSpan w:val="7"/>
            <w:shd w:val="clear" w:color="auto" w:fill="0000EE"/>
          </w:tcPr>
          <w:p>
            <w:pPr>
              <w:spacing w:after="0" w:line="20" w:lineRule="exact"/>
              <w:rPr>
                <w:sz w:val="1"/>
                <w:szCs w:val="1"/>
                <w:color w:val="auto"/>
              </w:rPr>
            </w:pPr>
          </w:p>
        </w:tc>
        <w:tc>
          <w:tcPr>
            <w:tcW w:w="2240" w:type="dxa"/>
            <w:vAlign w:val="bottom"/>
            <w:gridSpan w:val="11"/>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07"/>
        </w:trPr>
        <w:tc>
          <w:tcPr>
            <w:tcW w:w="105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Appendix A – Auerbach Warrant, as amended by the 2021 Auerbach Warrant Amendment</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A-1</w:t>
            </w:r>
          </w:p>
        </w:tc>
      </w:tr>
      <w:tr>
        <w:trPr>
          <w:trHeight w:val="407"/>
        </w:trPr>
        <w:tc>
          <w:tcPr>
            <w:tcW w:w="644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Appendix B – 2026 Auerbach Warrant Amendment</w:t>
            </w:r>
          </w:p>
        </w:tc>
        <w:tc>
          <w:tcPr>
            <w:tcW w:w="4080" w:type="dxa"/>
            <w:vAlign w:val="bottom"/>
            <w:gridSpan w:val="5"/>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Borders>
              <w:top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96"/>
              </w:rPr>
              <w:t>B-1</w:t>
            </w:r>
          </w:p>
        </w:tc>
      </w:tr>
      <w:tr>
        <w:trPr>
          <w:trHeight w:val="587"/>
        </w:trPr>
        <w:tc>
          <w:tcPr>
            <w:tcW w:w="3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5367655</wp:posOffset>
            </wp:positionH>
            <wp:positionV relativeFrom="paragraph">
              <wp:posOffset>-2270125</wp:posOffset>
            </wp:positionV>
            <wp:extent cx="372745" cy="127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2745" cy="127000"/>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151130</wp:posOffset>
            </wp:positionV>
            <wp:extent cx="1923415" cy="677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341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PUMA BIOTECHNOLOGY,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10880 Wilshire Boulevard, Suite 1700, Los Angeles, California 90024</w:t>
      </w:r>
    </w:p>
    <w:p>
      <w:pPr>
        <w:spacing w:after="0" w:line="200" w:lineRule="exact"/>
        <w:rPr>
          <w:sz w:val="20"/>
          <w:szCs w:val="20"/>
          <w:color w:val="auto"/>
        </w:rPr>
      </w:pPr>
    </w:p>
    <w:p>
      <w:pPr>
        <w:spacing w:after="0" w:line="23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 TO BE HELD ON THURSDAY, JUNE 11, 2026</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the Stockholders of Puma Biotechnology, Inc. (the “Company,” “we” and “our”):</w:t>
      </w:r>
    </w:p>
    <w:p>
      <w:pPr>
        <w:spacing w:after="0" w:line="220" w:lineRule="exact"/>
        <w:rPr>
          <w:sz w:val="20"/>
          <w:szCs w:val="20"/>
          <w:color w:val="auto"/>
        </w:rPr>
      </w:pPr>
    </w:p>
    <w:p>
      <w:pPr>
        <w:ind w:right="280" w:firstLine="427"/>
        <w:spacing w:after="0" w:line="307" w:lineRule="auto"/>
        <w:rPr>
          <w:sz w:val="20"/>
          <w:szCs w:val="20"/>
          <w:color w:val="auto"/>
        </w:rPr>
      </w:pPr>
      <w:r>
        <w:rPr>
          <w:rFonts w:ascii="Times New Roman" w:cs="Times New Roman" w:eastAsia="Times New Roman" w:hAnsi="Times New Roman"/>
          <w:sz w:val="17"/>
          <w:szCs w:val="17"/>
          <w:color w:val="auto"/>
        </w:rPr>
        <w:t>We will hold an annual meeting of stockholders of the Company at our principal executive offices, located at 10880 Wilshire Blvd., Suite 1700, Los Angeles, CA 90024, on Thursday, June 11, 2026, at 1:00 p.m. local time. At the annual meeting we will consider and act upon the following matters:</w:t>
      </w:r>
    </w:p>
    <w:p>
      <w:pPr>
        <w:spacing w:after="0" w:line="194" w:lineRule="exact"/>
        <w:rPr>
          <w:sz w:val="20"/>
          <w:szCs w:val="20"/>
          <w:color w:val="auto"/>
        </w:rPr>
      </w:pPr>
    </w:p>
    <w:p>
      <w:pPr>
        <w:ind w:left="460" w:right="100" w:hanging="226"/>
        <w:spacing w:after="0" w:line="26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eight directors to serve for a one-year term expiring at the 2027 annual meeting of stockholders and until their successors are duly elected and qualified or until their earlier resignation or removal. The nominees are Alan H. Auerbach, Alessandra Cesano, Allison Dorval, Michael P. Miller, Jay M. Moyes, Adrian M. Senderowicz, Brian Stuglik, and Troy E. Wilson;</w:t>
      </w:r>
    </w:p>
    <w:p>
      <w:pPr>
        <w:spacing w:after="0" w:line="69" w:lineRule="exact"/>
        <w:rPr>
          <w:rFonts w:ascii="Times New Roman" w:cs="Times New Roman" w:eastAsia="Times New Roman" w:hAnsi="Times New Roman"/>
          <w:sz w:val="18"/>
          <w:szCs w:val="18"/>
          <w:color w:val="auto"/>
        </w:rPr>
      </w:pPr>
    </w:p>
    <w:p>
      <w:pPr>
        <w:ind w:left="460" w:hanging="226"/>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of KPMG LLP as our independent registered public accounting firm for the year ending December 31, 2026;</w:t>
      </w:r>
    </w:p>
    <w:p>
      <w:pPr>
        <w:spacing w:after="0" w:line="113" w:lineRule="exact"/>
        <w:rPr>
          <w:rFonts w:ascii="Times New Roman" w:cs="Times New Roman" w:eastAsia="Times New Roman" w:hAnsi="Times New Roman"/>
          <w:sz w:val="18"/>
          <w:szCs w:val="18"/>
          <w:color w:val="auto"/>
        </w:rPr>
      </w:pPr>
    </w:p>
    <w:p>
      <w:pPr>
        <w:ind w:left="460" w:hanging="226"/>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(non-binding) vote to approve the compensation of our Named Executive Officers as described in the proxy statement (“say-on-pay vote”);</w:t>
      </w:r>
    </w:p>
    <w:p>
      <w:pPr>
        <w:spacing w:after="0" w:line="113" w:lineRule="exact"/>
        <w:rPr>
          <w:rFonts w:ascii="Times New Roman" w:cs="Times New Roman" w:eastAsia="Times New Roman" w:hAnsi="Times New Roman"/>
          <w:sz w:val="18"/>
          <w:szCs w:val="18"/>
          <w:color w:val="auto"/>
        </w:rPr>
      </w:pPr>
    </w:p>
    <w:p>
      <w:pPr>
        <w:jc w:val="both"/>
        <w:ind w:left="460" w:right="80" w:hanging="226"/>
        <w:spacing w:after="0" w:line="26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 amendment (the “Auerbach Warrant Amendment”) to extend the expiration date of the warrant issued to Alan H. Auerbach, President and Chief Executive Officer of the Company, on October 4, 2011, as amended on June 15, 2021, to purchase 2,116,250 shares of the Company’s common stock at $16.00 per share (the “Auerbach Warrant”), from October 4, 2026 until October 4, 2028; and</w:t>
      </w:r>
    </w:p>
    <w:p>
      <w:pPr>
        <w:spacing w:after="0" w:line="69" w:lineRule="exact"/>
        <w:rPr>
          <w:rFonts w:ascii="Times New Roman" w:cs="Times New Roman" w:eastAsia="Times New Roman" w:hAnsi="Times New Roman"/>
          <w:sz w:val="18"/>
          <w:szCs w:val="18"/>
          <w:color w:val="auto"/>
        </w:rPr>
      </w:pPr>
    </w:p>
    <w:p>
      <w:pPr>
        <w:ind w:left="460" w:hanging="226"/>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business as may properly come before the annual meeting or any adjournments or postponements of the annual meeting.</w:t>
      </w:r>
    </w:p>
    <w:p>
      <w:pPr>
        <w:spacing w:after="0" w:line="273" w:lineRule="exact"/>
        <w:rPr>
          <w:sz w:val="20"/>
          <w:szCs w:val="20"/>
          <w:color w:val="auto"/>
        </w:rPr>
      </w:pPr>
    </w:p>
    <w:p>
      <w:pPr>
        <w:ind w:right="200" w:firstLine="427"/>
        <w:spacing w:after="0" w:line="262" w:lineRule="auto"/>
        <w:rPr>
          <w:sz w:val="20"/>
          <w:szCs w:val="20"/>
          <w:color w:val="auto"/>
        </w:rPr>
      </w:pPr>
      <w:r>
        <w:rPr>
          <w:rFonts w:ascii="Times New Roman" w:cs="Times New Roman" w:eastAsia="Times New Roman" w:hAnsi="Times New Roman"/>
          <w:sz w:val="18"/>
          <w:szCs w:val="18"/>
          <w:color w:val="auto"/>
        </w:rPr>
        <w:t>The proxy statement accompanying this notice describes each of these items of business in detail. The Board of Directors recommends a vote “FOR” each of the eight nominees for director named in the proxy statement, a vote “FOR” the ratification of the selection of KPMG LLP as our independent registered public accounting firm, a vote “FOR” the say-on-pay vote and a vote “FOR” the Auerbach Warrant Amendment.</w:t>
      </w:r>
    </w:p>
    <w:p>
      <w:pPr>
        <w:spacing w:after="0" w:line="176" w:lineRule="exact"/>
        <w:rPr>
          <w:sz w:val="20"/>
          <w:szCs w:val="20"/>
          <w:color w:val="auto"/>
        </w:rPr>
      </w:pPr>
    </w:p>
    <w:p>
      <w:pPr>
        <w:ind w:firstLine="427"/>
        <w:spacing w:after="0" w:line="253" w:lineRule="auto"/>
        <w:rPr>
          <w:sz w:val="20"/>
          <w:szCs w:val="20"/>
          <w:color w:val="auto"/>
        </w:rPr>
      </w:pPr>
      <w:r>
        <w:rPr>
          <w:rFonts w:ascii="Times New Roman" w:cs="Times New Roman" w:eastAsia="Times New Roman" w:hAnsi="Times New Roman"/>
          <w:sz w:val="18"/>
          <w:szCs w:val="18"/>
          <w:color w:val="auto"/>
        </w:rPr>
        <w:t>Only the Company’s stockholders of record at the close of business on April 13, 2026, the record date for the determination of stockholders entitled to notice of and to vote at the annual meeting, or any adjournments or postponements thereof, are entitled to notice of, and to vote at, the annual meeting. On April 13, 2026, we had 50,891,675 shares of common stock outstanding. A list of stockholders eligible to vote at the annual meeting will be available for inspection at the Company’s principal executive offices at 10880 Wilshire Boulevard, Suite 1700, Los Angeles, CA 90024 during regular business hours for a period of no less than ten days prior to the annual meeting. Please contact Investor Relations at (424) 248-6500 or ir@pumabiotechnology.com if you would like to visit our offices to review the stockholder list.</w:t>
      </w:r>
    </w:p>
    <w:p>
      <w:pPr>
        <w:spacing w:after="0" w:line="183" w:lineRule="exact"/>
        <w:rPr>
          <w:sz w:val="20"/>
          <w:szCs w:val="20"/>
          <w:color w:val="auto"/>
        </w:rPr>
      </w:pPr>
    </w:p>
    <w:p>
      <w:pPr>
        <w:ind w:right="20" w:firstLine="427"/>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Your vote is very important. </w:t>
      </w:r>
      <w:r>
        <w:rPr>
          <w:rFonts w:ascii="Times New Roman" w:cs="Times New Roman" w:eastAsia="Times New Roman" w:hAnsi="Times New Roman"/>
          <w:sz w:val="18"/>
          <w:szCs w:val="18"/>
          <w:color w:val="auto"/>
        </w:rPr>
        <w:t>It is important that your shares be represented and voted whether or not you plan to attend the annual meeting in person.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are viewing the proxy statement on the Internet, you may grant your proxy electronically via the Internet by following the instructions on the Notice of Internet Availability of Proxy Materials previously mailed to you and the instructions listed on the Internet site. If you are receiving a paper copy of the proxy statement, you may submit your proxy by completing and mailing the proxy card enclosed with the proxy statement, or you may grant your proxy electronically via the Internet or by telephone by following the instructions on the proxy card provided to you. Submitting a proxy over the Internet, by telephone or by mailing a proxy card will ensure your shares are represented at the annual meeting.</w:t>
      </w:r>
    </w:p>
    <w:p>
      <w:pPr>
        <w:spacing w:after="0" w:line="187" w:lineRule="exact"/>
        <w:rPr>
          <w:sz w:val="20"/>
          <w:szCs w:val="20"/>
          <w:color w:val="auto"/>
        </w:rPr>
      </w:pPr>
    </w:p>
    <w:p>
      <w:pPr>
        <w:ind w:right="40" w:firstLine="427"/>
        <w:spacing w:after="0" w:line="262" w:lineRule="auto"/>
        <w:rPr>
          <w:sz w:val="20"/>
          <w:szCs w:val="20"/>
          <w:color w:val="auto"/>
        </w:rPr>
      </w:pPr>
      <w:r>
        <w:rPr>
          <w:rFonts w:ascii="Times New Roman" w:cs="Times New Roman" w:eastAsia="Times New Roman" w:hAnsi="Times New Roman"/>
          <w:sz w:val="18"/>
          <w:szCs w:val="18"/>
          <w:color w:val="auto"/>
        </w:rPr>
        <w:t>The annual meeting is accessible to those who require special assistance or accommodation. If you require special assistance or accommodation, please contact Investor Relations at (424) 248-6500 or ir@pumabiotechnology.com or write to: Puma Biotechnology, Inc., 10880 Wilshire Boulevard, Suite 1700, Los Angeles, California 90024, Attention: Investor Relations.</w:t>
      </w:r>
    </w:p>
    <w:p>
      <w:pPr>
        <w:spacing w:after="0" w:line="39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151130</wp:posOffset>
            </wp:positionV>
            <wp:extent cx="1270635" cy="2457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635" cy="24574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Alan H. Auerbach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-127635</wp:posOffset>
            </wp:positionV>
            <wp:extent cx="25673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7305" cy="8255"/>
                    </a:xfrm>
                    <a:prstGeom prst="rect">
                      <a:avLst/>
                    </a:prstGeom>
                    <a:noFill/>
                  </pic:spPr>
                </pic:pic>
              </a:graphicData>
            </a:graphic>
          </wp:anchor>
        </w:drawing>
      </w:r>
    </w:p>
    <w:p>
      <w:pPr>
        <w:spacing w:after="0" w:line="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Chairman, President, Chief Executive Officer and</w:t>
      </w:r>
    </w:p>
    <w:p>
      <w:pPr>
        <w:spacing w:after="0" w:line="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Secretary</w:t>
      </w:r>
    </w:p>
    <w:p>
      <w:pPr>
        <w:sectPr>
          <w:pgSz w:w="11900" w:h="16838" w:orient="portrait"/>
          <w:cols w:equalWidth="0" w:num="1">
            <w:col w:w="11240"/>
          </w:cols>
          <w:pgMar w:left="320" w:top="121" w:right="339" w:bottom="1440" w:gutter="0" w:footer="0" w:header="0"/>
        </w:sect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CONCERNING VOTING AND SOLICITATION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4" w:lineRule="exact"/>
        <w:rPr>
          <w:sz w:val="20"/>
          <w:szCs w:val="20"/>
          <w:color w:val="auto"/>
        </w:rPr>
      </w:pPr>
    </w:p>
    <w:p>
      <w:pPr>
        <w:ind w:right="100" w:firstLine="427"/>
        <w:spacing w:after="0" w:line="253" w:lineRule="auto"/>
        <w:rPr>
          <w:sz w:val="20"/>
          <w:szCs w:val="20"/>
          <w:color w:val="auto"/>
        </w:rPr>
      </w:pPr>
      <w:r>
        <w:rPr>
          <w:rFonts w:ascii="Times New Roman" w:cs="Times New Roman" w:eastAsia="Times New Roman" w:hAnsi="Times New Roman"/>
          <w:sz w:val="18"/>
          <w:szCs w:val="18"/>
          <w:color w:val="auto"/>
        </w:rPr>
        <w:t>Your proxy is being solicited on behalf of the Board of Directors (the “Board”) of Puma Biotechnology, Inc., a Delaware corporation (the “Company,” “we,” “us” or “our”), for use at our 2026 annual meeting of stockholders to be held on Thursday, June 11, 2026, at 1:00 p.m. local time, at the Company’s principal executive offices, 10880 Wilshire Blvd., Suite 1700, Los Angeles, CA 90024, or at any continuation, postponement or adjournment thereof (the “annual meeting”), for the purposes discussed in this proxy statement and in the accompanying Notice of Annual Meeting and any other business properly brought before the annual meeting. Proxies are solicited to give all stockholders who held shares on the record date an opportunity to vote on matters properly presented at the annual meeting.</w:t>
      </w:r>
    </w:p>
    <w:p>
      <w:pPr>
        <w:spacing w:after="0" w:line="185" w:lineRule="exact"/>
        <w:rPr>
          <w:sz w:val="20"/>
          <w:szCs w:val="20"/>
          <w:color w:val="auto"/>
        </w:rPr>
      </w:pPr>
    </w:p>
    <w:p>
      <w:pPr>
        <w:ind w:right="40" w:firstLine="427"/>
        <w:spacing w:after="0" w:line="267" w:lineRule="auto"/>
        <w:rPr>
          <w:sz w:val="20"/>
          <w:szCs w:val="20"/>
          <w:color w:val="auto"/>
        </w:rPr>
      </w:pPr>
      <w:r>
        <w:rPr>
          <w:rFonts w:ascii="Times New Roman" w:cs="Times New Roman" w:eastAsia="Times New Roman" w:hAnsi="Times New Roman"/>
          <w:sz w:val="17"/>
          <w:szCs w:val="17"/>
          <w:color w:val="auto"/>
        </w:rPr>
        <w:t>In accordance with the Securities and Exchange Commission’s “notice and access” model, we have elected to provide access to our proxy materials, including our notice of annual meeting, this proxy statement and our annual report to stockholders, over the Internet. On or about April 28, 2026, we intend to make our proxy materials available on the Internet and mail a Notice of Internet Availability of Proxy Materials (the “Notice”) to all of our stockholders as of our record date on April 13, 2026. We intend to mail a paper copy of the proxy materials and proxy card to other stockholders of record who have elected to receive such materials in paper form on or about April 28, 2026. Brokers and other nominees who hold shares on behalf of beneficial stockholders will be sending their own similar Notice to such beneficial owners. All stockholders will have the ability to access the proxy materials on the website referred to in the Notice or to request to receive a printed set of the proxy materials. Instructions on how to request a printed copy by mail or electronically may be found on the Notice and on the website referred to in the Notice, including an option to request paper copies on an ongoing basis. If you properly request a printed copy of the proxy materials, we intend to mail the proxy materials, together with a proxy card, to you, within three business days of such request.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2026 Annual Meeting of Stockholders to be Held on Thursday, June 11, 2026</w:t>
      </w:r>
    </w:p>
    <w:p>
      <w:pPr>
        <w:spacing w:after="0" w:line="235" w:lineRule="exact"/>
        <w:rPr>
          <w:sz w:val="20"/>
          <w:szCs w:val="20"/>
          <w:color w:val="auto"/>
        </w:rPr>
      </w:pPr>
    </w:p>
    <w:p>
      <w:pPr>
        <w:jc w:val="both"/>
        <w:ind w:right="40" w:firstLine="427"/>
        <w:spacing w:after="0" w:line="284" w:lineRule="auto"/>
        <w:rPr>
          <w:sz w:val="20"/>
          <w:szCs w:val="20"/>
          <w:color w:val="auto"/>
        </w:rPr>
      </w:pPr>
      <w:r>
        <w:rPr>
          <w:rFonts w:ascii="Times New Roman" w:cs="Times New Roman" w:eastAsia="Times New Roman" w:hAnsi="Times New Roman"/>
          <w:sz w:val="17"/>
          <w:szCs w:val="17"/>
          <w:color w:val="auto"/>
        </w:rPr>
        <w:t xml:space="preserve">The Notice of Annual Meeting, this proxy statement, proxy card sample and our 2025 Annual Report, which consists of a letter to stockholders and our Annual Report on Form 10-K for the fiscal year ended December 31, 2025, are available on our website at </w:t>
      </w:r>
      <w:r>
        <w:rPr>
          <w:rFonts w:ascii="Times New Roman" w:cs="Times New Roman" w:eastAsia="Times New Roman" w:hAnsi="Times New Roman"/>
          <w:sz w:val="17"/>
          <w:szCs w:val="17"/>
          <w:i w:val="1"/>
          <w:iCs w:val="1"/>
          <w:color w:val="auto"/>
        </w:rPr>
        <w:t>https://investor.pumabiotechnology.com/financial-information/annual-reports</w:t>
      </w:r>
      <w:r>
        <w:rPr>
          <w:rFonts w:ascii="Times New Roman" w:cs="Times New Roman" w:eastAsia="Times New Roman" w:hAnsi="Times New Roman"/>
          <w:sz w:val="17"/>
          <w:szCs w:val="17"/>
          <w:color w:val="auto"/>
        </w:rPr>
        <w:t>. You are encouraged to access and review all of the important information contained in the proxy materials before voting.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224" w:lineRule="exact"/>
        <w:rPr>
          <w:sz w:val="20"/>
          <w:szCs w:val="20"/>
          <w:color w:val="auto"/>
        </w:rPr>
      </w:pPr>
    </w:p>
    <w:p>
      <w:pPr>
        <w:jc w:val="both"/>
        <w:ind w:right="100" w:firstLine="427"/>
        <w:spacing w:after="0" w:line="262" w:lineRule="auto"/>
        <w:rPr>
          <w:sz w:val="20"/>
          <w:szCs w:val="20"/>
          <w:color w:val="auto"/>
        </w:rPr>
      </w:pPr>
      <w:r>
        <w:rPr>
          <w:rFonts w:ascii="Times New Roman" w:cs="Times New Roman" w:eastAsia="Times New Roman" w:hAnsi="Times New Roman"/>
          <w:sz w:val="18"/>
          <w:szCs w:val="18"/>
          <w:color w:val="auto"/>
        </w:rPr>
        <w:t>You are entitled to vote at the annual meeting if you were a holder of our common stock as of the close of business on April 13, 2026. You are entitled to one vote for each share of common stock held on all matters to be voted upon at the annual meeting. Your shares may be voted at the annual meeting only if you are present in person or represented by a valid proxy.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of Shares</w:t>
      </w:r>
    </w:p>
    <w:p>
      <w:pPr>
        <w:spacing w:after="0" w:line="224" w:lineRule="exact"/>
        <w:rPr>
          <w:sz w:val="20"/>
          <w:szCs w:val="20"/>
          <w:color w:val="auto"/>
        </w:rPr>
      </w:pPr>
    </w:p>
    <w:p>
      <w:pPr>
        <w:ind w:right="340" w:firstLine="427"/>
        <w:spacing w:after="0" w:line="262" w:lineRule="auto"/>
        <w:rPr>
          <w:sz w:val="20"/>
          <w:szCs w:val="20"/>
          <w:color w:val="auto"/>
        </w:rPr>
      </w:pPr>
      <w:r>
        <w:rPr>
          <w:rFonts w:ascii="Times New Roman" w:cs="Times New Roman" w:eastAsia="Times New Roman" w:hAnsi="Times New Roman"/>
          <w:sz w:val="18"/>
          <w:szCs w:val="18"/>
          <w:color w:val="auto"/>
        </w:rPr>
        <w:t>You may vote by submitting a proxy to have your shares voted at the annual meeting, or by attending the annual meeting and voting in person. The method of submitting your proxy will differ depending on whether you are viewing this proxy statement on the Internet or receiving a paper copy and whether you are a beneficial stockholder or a stockholder of record.</w:t>
      </w:r>
    </w:p>
    <w:p>
      <w:pPr>
        <w:spacing w:after="0" w:line="174" w:lineRule="exact"/>
        <w:rPr>
          <w:sz w:val="20"/>
          <w:szCs w:val="20"/>
          <w:color w:val="auto"/>
        </w:rPr>
      </w:pPr>
    </w:p>
    <w:p>
      <w:pPr>
        <w:ind w:firstLine="427"/>
        <w:spacing w:after="0" w:line="258" w:lineRule="auto"/>
        <w:rPr>
          <w:sz w:val="20"/>
          <w:szCs w:val="20"/>
          <w:color w:val="auto"/>
        </w:rPr>
      </w:pPr>
      <w:r>
        <w:rPr>
          <w:rFonts w:ascii="Times New Roman" w:cs="Times New Roman" w:eastAsia="Times New Roman" w:hAnsi="Times New Roman"/>
          <w:sz w:val="18"/>
          <w:szCs w:val="18"/>
          <w:i w:val="1"/>
          <w:iCs w:val="1"/>
          <w:color w:val="auto"/>
        </w:rPr>
        <w:t>Beneficial Stockholders</w:t>
      </w:r>
      <w:r>
        <w:rPr>
          <w:rFonts w:ascii="Times New Roman" w:cs="Times New Roman" w:eastAsia="Times New Roman" w:hAnsi="Times New Roman"/>
          <w:sz w:val="18"/>
          <w:szCs w:val="18"/>
          <w:color w:val="auto"/>
        </w:rPr>
        <w:t>. Beneficial stockholders hold their shares through a broker, bank, trustee or other nominee (“broker”) that is in “street name”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rather than directly in their own name. If you hold your shares in street name, you are a “beneficial stockholder,” and the Notice and proxy materials are made available to you by the broker holding your shares. Your broker is considered the stockholder of record for purposes of voting at the annual meeting. As a beneficial stockholder, you have the right to instruct your broker on how to vote the shares held in your account.</w:t>
      </w:r>
    </w:p>
    <w:p>
      <w:pPr>
        <w:spacing w:after="0" w:line="177" w:lineRule="exact"/>
        <w:rPr>
          <w:sz w:val="20"/>
          <w:szCs w:val="20"/>
          <w:color w:val="auto"/>
        </w:rPr>
      </w:pPr>
    </w:p>
    <w:p>
      <w:pPr>
        <w:jc w:val="both"/>
        <w:ind w:right="260" w:firstLine="427"/>
        <w:spacing w:after="0" w:line="212" w:lineRule="auto"/>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your shares are registered directly in your name with our transfer agent, EQ Shareowner Services</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or if you hold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certificates in your name, you are considered the stockholder of record with respect to those shares, and the Notice and proxy materials are made available directly to you by us. If you are receiving printed copies of the proxy materials by mail, you will receive a proxy card from us.</w:t>
      </w:r>
    </w:p>
    <w:p>
      <w:pPr>
        <w:spacing w:after="0" w:line="194" w:lineRule="exact"/>
        <w:rPr>
          <w:sz w:val="20"/>
          <w:szCs w:val="20"/>
          <w:color w:val="auto"/>
        </w:rPr>
      </w:pPr>
    </w:p>
    <w:p>
      <w:pPr>
        <w:ind w:right="120" w:firstLine="427"/>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Voting/Submitting Proxy. </w:t>
      </w:r>
      <w:r>
        <w:rPr>
          <w:rFonts w:ascii="Times New Roman" w:cs="Times New Roman" w:eastAsia="Times New Roman" w:hAnsi="Times New Roman"/>
          <w:sz w:val="18"/>
          <w:szCs w:val="18"/>
          <w:color w:val="auto"/>
        </w:rPr>
        <w:t>Whether you are a stockholder of record or a beneficial stockholder, you may direct how your shares are voted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attending the annual meeting. If you are a stockholder of record, you may submit a proxy to authorize how your shares are voted at the annual meeting. You can submit a proxy over the Internet by following the instructions on the website referred to in the Notice or, if you requested and received printed copies of the proxy materials, you can also submit a proxy by internet, mail or telephone pursuant to the instructions on the proxy card enclosed with the proxy materials.</w:t>
      </w:r>
    </w:p>
    <w:p>
      <w:pPr>
        <w:spacing w:after="0" w:line="183" w:lineRule="exact"/>
        <w:rPr>
          <w:sz w:val="20"/>
          <w:szCs w:val="20"/>
          <w:color w:val="auto"/>
        </w:rPr>
      </w:pPr>
    </w:p>
    <w:p>
      <w:pPr>
        <w:jc w:val="both"/>
        <w:ind w:right="560" w:firstLine="427"/>
        <w:spacing w:after="0" w:line="262" w:lineRule="auto"/>
        <w:rPr>
          <w:sz w:val="20"/>
          <w:szCs w:val="20"/>
          <w:color w:val="auto"/>
        </w:rPr>
      </w:pPr>
      <w:r>
        <w:rPr>
          <w:rFonts w:ascii="Times New Roman" w:cs="Times New Roman" w:eastAsia="Times New Roman" w:hAnsi="Times New Roman"/>
          <w:sz w:val="18"/>
          <w:szCs w:val="18"/>
          <w:color w:val="auto"/>
        </w:rPr>
        <w:t>If you are a beneficial stockholder, you may submit your voting instructions to the broker holding your shares over the Internet by following the instructions provided in the Notice, or, if you requested and received printed copies of the proxy materials, you can also submit voting instructions by internet, telephone or mail by following the instructions provided to you by your broker.</w:t>
      </w:r>
    </w:p>
    <w:p>
      <w:pPr>
        <w:spacing w:after="0" w:line="176" w:lineRule="exact"/>
        <w:rPr>
          <w:sz w:val="20"/>
          <w:szCs w:val="20"/>
          <w:color w:val="auto"/>
        </w:rPr>
      </w:pPr>
    </w:p>
    <w:p>
      <w:pPr>
        <w:ind w:right="40" w:firstLine="427"/>
        <w:spacing w:after="0" w:line="262" w:lineRule="auto"/>
        <w:rPr>
          <w:sz w:val="20"/>
          <w:szCs w:val="20"/>
          <w:color w:val="auto"/>
        </w:rPr>
      </w:pPr>
      <w:r>
        <w:rPr>
          <w:rFonts w:ascii="Times New Roman" w:cs="Times New Roman" w:eastAsia="Times New Roman" w:hAnsi="Times New Roman"/>
          <w:sz w:val="18"/>
          <w:szCs w:val="18"/>
          <w:color w:val="auto"/>
        </w:rPr>
        <w:t>Submitting your proxy or voting instructions via the Internet, by telephone or by mail will not affect your right to vote in person should you decide to attend the annual meeting, although beneficial stockholders must obtain a “legal proxy” from your broker giving you the right to vote the shares at the annual meeting in order to vote in person at the meeting.</w:t>
      </w:r>
    </w:p>
    <w:p>
      <w:pPr>
        <w:spacing w:after="0" w:line="176" w:lineRule="exact"/>
        <w:rPr>
          <w:sz w:val="20"/>
          <w:szCs w:val="20"/>
          <w:color w:val="auto"/>
        </w:rPr>
      </w:pPr>
    </w:p>
    <w:p>
      <w:pPr>
        <w:ind w:right="40" w:firstLine="427"/>
        <w:spacing w:after="0" w:line="257" w:lineRule="auto"/>
        <w:rPr>
          <w:sz w:val="20"/>
          <w:szCs w:val="20"/>
          <w:color w:val="auto"/>
        </w:rPr>
      </w:pPr>
      <w:r>
        <w:rPr>
          <w:rFonts w:ascii="Times New Roman" w:cs="Times New Roman" w:eastAsia="Times New Roman" w:hAnsi="Times New Roman"/>
          <w:sz w:val="18"/>
          <w:szCs w:val="18"/>
          <w:color w:val="auto"/>
        </w:rPr>
        <w:t>The Internet and telephone voting facilities will close at 11:59 p.m. Eastern Time on June 10, 2026. If you vote through the Internet, you should be aware that you may incur costs to access the Internet, such as usage charges from telephone companies or Internet service providers and that these costs must be borne by you. If you submit your proxy over the Internet or by telephone, then you do not need to return a written proxy card by mail. You will need the control number contained on the Notice, or proxy card, as applicable, to vote over the Internet or by telephone.</w:t>
      </w:r>
    </w:p>
    <w:p>
      <w:pPr>
        <w:sectPr>
          <w:pgSz w:w="11900" w:h="16838" w:orient="portrait"/>
          <w:cols w:equalWidth="0" w:num="1">
            <w:col w:w="11240"/>
          </w:cols>
          <w:pgMar w:left="320" w:top="121" w:right="339" w:bottom="811" w:gutter="0" w:footer="0" w:header="0"/>
        </w:sectPr>
      </w:pP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811"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right="20" w:firstLine="427"/>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w:t>
      </w:r>
      <w:r>
        <w:rPr>
          <w:rFonts w:ascii="Times New Roman" w:cs="Times New Roman" w:eastAsia="Times New Roman" w:hAnsi="Times New Roman"/>
          <w:sz w:val="18"/>
          <w:szCs w:val="18"/>
          <w:color w:val="auto"/>
        </w:rPr>
        <w:t>You should submit your proxy even if you plan to attend the annual meeting. If you properly give your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submit it in time to vote, one of the individuals named as your proxy will vote your shares as you have directed.</w:t>
      </w:r>
    </w:p>
    <w:p>
      <w:pPr>
        <w:spacing w:after="0" w:line="160" w:lineRule="exact"/>
        <w:rPr>
          <w:sz w:val="20"/>
          <w:szCs w:val="20"/>
          <w:color w:val="auto"/>
        </w:rPr>
      </w:pPr>
    </w:p>
    <w:p>
      <w:pPr>
        <w:ind w:firstLine="427"/>
        <w:spacing w:after="0" w:line="253" w:lineRule="auto"/>
        <w:rPr>
          <w:sz w:val="20"/>
          <w:szCs w:val="20"/>
          <w:color w:val="auto"/>
        </w:rPr>
      </w:pPr>
      <w:r>
        <w:rPr>
          <w:rFonts w:ascii="Times New Roman" w:cs="Times New Roman" w:eastAsia="Times New Roman" w:hAnsi="Times New Roman"/>
          <w:sz w:val="18"/>
          <w:szCs w:val="18"/>
          <w:color w:val="auto"/>
        </w:rPr>
        <w:t>All shares entitled to vote and represented by properly submitted proxies (including those submitted electronically, telephonically and in writing) that have not been properly revoked, will be voted at the annual meeting in accordance with the instructions indicated on those proxies. If no direction is indicated on a properly submitted proxy, your shares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eight nominees for director named in the proxy statement,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selection of KPMG LLP (“KPMG”) as our independent registered public accounting firm,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say-on-pay vote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Auerbach Warrant Amendment. The proxy gives each of Alan H. Auerbach and Maximo F. Nougues discretionary authority to vote your shares in accordance with his best judgment with respect to all additional matters that might properly come before the annual meeting.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Proxy</w:t>
      </w:r>
    </w:p>
    <w:p>
      <w:pPr>
        <w:spacing w:after="0" w:line="224" w:lineRule="exact"/>
        <w:rPr>
          <w:sz w:val="20"/>
          <w:szCs w:val="20"/>
          <w:color w:val="auto"/>
        </w:rPr>
      </w:pPr>
    </w:p>
    <w:p>
      <w:pPr>
        <w:ind w:right="560" w:firstLine="427"/>
        <w:spacing w:after="0" w:line="277" w:lineRule="auto"/>
        <w:rPr>
          <w:sz w:val="20"/>
          <w:szCs w:val="20"/>
          <w:color w:val="auto"/>
        </w:rPr>
      </w:pPr>
      <w:r>
        <w:rPr>
          <w:rFonts w:ascii="Times New Roman" w:cs="Times New Roman" w:eastAsia="Times New Roman" w:hAnsi="Times New Roman"/>
          <w:sz w:val="18"/>
          <w:szCs w:val="18"/>
          <w:color w:val="auto"/>
        </w:rPr>
        <w:t>If you are a stockholder of record, you may revoke your proxy at any time before your proxy is voted at the annual meeting by taking any of the following actions before the annual meeting:</w:t>
      </w:r>
    </w:p>
    <w:p>
      <w:pPr>
        <w:spacing w:after="0" w:line="216" w:lineRule="exact"/>
        <w:rPr>
          <w:sz w:val="20"/>
          <w:szCs w:val="20"/>
          <w:color w:val="auto"/>
        </w:rPr>
      </w:pPr>
    </w:p>
    <w:p>
      <w:pPr>
        <w:ind w:left="460" w:right="420" w:hanging="226"/>
        <w:spacing w:after="0" w:line="277"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our Corporate Secretary a signed written notice of revocation, bearing a date later than the date of the proxy, stating that the proxy is revoked;</w:t>
      </w:r>
    </w:p>
    <w:p>
      <w:pPr>
        <w:spacing w:after="0" w:line="55" w:lineRule="exact"/>
        <w:rPr>
          <w:rFonts w:ascii="Times New Roman" w:cs="Times New Roman" w:eastAsia="Times New Roman" w:hAnsi="Times New Roman"/>
          <w:sz w:val="18"/>
          <w:szCs w:val="18"/>
          <w:color w:val="auto"/>
        </w:rPr>
      </w:pPr>
    </w:p>
    <w:p>
      <w:pPr>
        <w:ind w:left="460" w:hanging="226"/>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delivering a new paper proxy, relating to the same shares and bearing a later date than the original proxy;</w:t>
      </w:r>
    </w:p>
    <w:p>
      <w:pPr>
        <w:spacing w:after="0" w:line="113" w:lineRule="exact"/>
        <w:rPr>
          <w:rFonts w:ascii="Times New Roman" w:cs="Times New Roman" w:eastAsia="Times New Roman" w:hAnsi="Times New Roman"/>
          <w:sz w:val="18"/>
          <w:szCs w:val="18"/>
          <w:color w:val="auto"/>
        </w:rPr>
      </w:pPr>
    </w:p>
    <w:p>
      <w:pPr>
        <w:ind w:left="460" w:right="300" w:hanging="226"/>
        <w:spacing w:after="0" w:line="277"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another proxy by telephone or over the Internet (the proxy holders will vote your shares in accordance with your latest timely-submitted telephone or Internet voting instructions); or</w:t>
      </w:r>
    </w:p>
    <w:p>
      <w:pPr>
        <w:spacing w:after="0" w:line="55" w:lineRule="exact"/>
        <w:rPr>
          <w:rFonts w:ascii="Times New Roman" w:cs="Times New Roman" w:eastAsia="Times New Roman" w:hAnsi="Times New Roman"/>
          <w:sz w:val="18"/>
          <w:szCs w:val="18"/>
          <w:color w:val="auto"/>
        </w:rPr>
      </w:pPr>
    </w:p>
    <w:p>
      <w:pPr>
        <w:ind w:left="460" w:hanging="226"/>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in person, although attendance at the annual meeting will not, by itself, revoke a proxy.</w:t>
      </w:r>
    </w:p>
    <w:p>
      <w:pPr>
        <w:spacing w:after="0" w:line="2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Written notices of revocation and other communications with respect to the revocation of proxies should be addressed to:</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Puma Biotechnology, Inc.</w:t>
      </w: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10880 Wilshire Boulevard, Suite 1700</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Los Angeles, CA 90024</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1" w:lineRule="exact"/>
        <w:rPr>
          <w:sz w:val="20"/>
          <w:szCs w:val="20"/>
          <w:color w:val="auto"/>
        </w:rPr>
      </w:pPr>
    </w:p>
    <w:p>
      <w:pPr>
        <w:ind w:right="120" w:firstLine="427"/>
        <w:spacing w:after="0" w:line="277" w:lineRule="auto"/>
        <w:rPr>
          <w:sz w:val="20"/>
          <w:szCs w:val="20"/>
          <w:color w:val="auto"/>
        </w:rPr>
      </w:pPr>
      <w:r>
        <w:rPr>
          <w:rFonts w:ascii="Times New Roman" w:cs="Times New Roman" w:eastAsia="Times New Roman" w:hAnsi="Times New Roman"/>
          <w:sz w:val="18"/>
          <w:szCs w:val="18"/>
          <w:color w:val="auto"/>
        </w:rPr>
        <w:t>If you are a beneficial stockholder, you may change your vote by submitting new voting instructions to your broker in accordance with the procedures of such broker.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in Person</w:t>
      </w:r>
    </w:p>
    <w:p>
      <w:pPr>
        <w:spacing w:after="0" w:line="224" w:lineRule="exact"/>
        <w:rPr>
          <w:sz w:val="20"/>
          <w:szCs w:val="20"/>
          <w:color w:val="auto"/>
        </w:rPr>
      </w:pPr>
    </w:p>
    <w:p>
      <w:pPr>
        <w:ind w:right="80" w:firstLine="427"/>
        <w:spacing w:after="0" w:line="262" w:lineRule="auto"/>
        <w:rPr>
          <w:sz w:val="20"/>
          <w:szCs w:val="20"/>
          <w:color w:val="auto"/>
        </w:rPr>
      </w:pPr>
      <w:r>
        <w:rPr>
          <w:rFonts w:ascii="Times New Roman" w:cs="Times New Roman" w:eastAsia="Times New Roman" w:hAnsi="Times New Roman"/>
          <w:sz w:val="18"/>
          <w:szCs w:val="18"/>
          <w:color w:val="auto"/>
        </w:rPr>
        <w:t>If you plan to attend the annual meeting and wish to vote in person, you will be given a ballot at the annual meeting. Beneficial stockholders must obtain and present at the annual meeting a “legal proxy” from the broker that holds their shares giving them the right to vote the shares at the annual meeting in order to vote in person at the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and Votes Required</w:t>
      </w:r>
    </w:p>
    <w:p>
      <w:pPr>
        <w:spacing w:after="0" w:line="224" w:lineRule="exact"/>
        <w:rPr>
          <w:sz w:val="20"/>
          <w:szCs w:val="20"/>
          <w:color w:val="auto"/>
        </w:rPr>
      </w:pPr>
    </w:p>
    <w:p>
      <w:pPr>
        <w:ind w:right="300" w:firstLine="427"/>
        <w:spacing w:after="0" w:line="277" w:lineRule="auto"/>
        <w:rPr>
          <w:sz w:val="20"/>
          <w:szCs w:val="20"/>
          <w:color w:val="auto"/>
        </w:rPr>
      </w:pPr>
      <w:r>
        <w:rPr>
          <w:rFonts w:ascii="Times New Roman" w:cs="Times New Roman" w:eastAsia="Times New Roman" w:hAnsi="Times New Roman"/>
          <w:sz w:val="18"/>
          <w:szCs w:val="18"/>
          <w:color w:val="auto"/>
        </w:rPr>
        <w:t>At the close of business on April 13, 2026, 50,891,675 shares of our common stock were outstanding and entitled to vote at the annual meeting. All votes will be tabulated by the inspector of election appointed for the annual meeting.</w:t>
      </w:r>
    </w:p>
    <w:p>
      <w:pPr>
        <w:spacing w:after="0" w:line="161" w:lineRule="exact"/>
        <w:rPr>
          <w:sz w:val="20"/>
          <w:szCs w:val="20"/>
          <w:color w:val="auto"/>
        </w:rPr>
      </w:pPr>
    </w:p>
    <w:p>
      <w:pPr>
        <w:ind w:right="180" w:firstLine="427"/>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Quorum. </w:t>
      </w:r>
      <w:r>
        <w:rPr>
          <w:rFonts w:ascii="Times New Roman" w:cs="Times New Roman" w:eastAsia="Times New Roman" w:hAnsi="Times New Roman"/>
          <w:sz w:val="18"/>
          <w:szCs w:val="18"/>
          <w:color w:val="auto"/>
        </w:rPr>
        <w:t>A majority of the outstanding shares of common stock, present in person or represented by proxy, will constitute a quorum at the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Shares of common stock held by persons attending the annual meeting but not voting, shares represented by proxies that reflect abstentions as to a particular proposal and broker “non-votes” will be counted as present for purposes of determining a quorum.</w:t>
      </w:r>
    </w:p>
    <w:p>
      <w:pPr>
        <w:spacing w:after="0" w:line="173" w:lineRule="exact"/>
        <w:rPr>
          <w:sz w:val="20"/>
          <w:szCs w:val="20"/>
          <w:color w:val="auto"/>
        </w:rPr>
      </w:pPr>
    </w:p>
    <w:p>
      <w:pPr>
        <w:ind w:right="220" w:firstLine="427"/>
        <w:spacing w:after="0" w:line="252" w:lineRule="auto"/>
        <w:rPr>
          <w:sz w:val="20"/>
          <w:szCs w:val="20"/>
          <w:color w:val="auto"/>
        </w:rPr>
      </w:pPr>
      <w:r>
        <w:rPr>
          <w:rFonts w:ascii="Times New Roman" w:cs="Times New Roman" w:eastAsia="Times New Roman" w:hAnsi="Times New Roman"/>
          <w:sz w:val="18"/>
          <w:szCs w:val="18"/>
          <w:i w:val="1"/>
          <w:iCs w:val="1"/>
          <w:color w:val="auto"/>
        </w:rPr>
        <w:t>Broker Non-Votes</w:t>
      </w:r>
      <w:r>
        <w:rPr>
          <w:rFonts w:ascii="Times New Roman" w:cs="Times New Roman" w:eastAsia="Times New Roman" w:hAnsi="Times New Roman"/>
          <w:sz w:val="18"/>
          <w:szCs w:val="18"/>
          <w:color w:val="auto"/>
        </w:rPr>
        <w:t>. Brokers who hold shares of common stock in “street name” for a beneficial owner of those shares typically have the authority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in the broker’s discretion on “routine” proposals when they have not received instructions from beneficial owners on how to vote on such proposal. However, brokers are not allowed to exercise their voting discretion with respect to the election of directors or for the approval of certain “non-routine” proposals without specific instructions from the beneficial owner. These non-voted shares are referred to as “broker non-votes.” Only Proposal 2 (ratifying the appointment of our independent registered public accounting firm) is considered a routine matter. If you are a beneficial stockholder holding shares through a broker and you do not submit instructions on how your shares should be voted, your broker or other nominee will not be able to vote your shares on Proposal 1 (election of directors), Proposal 3 (say-on-pay vote) or Proposal 4 (the Auerbach Warrant Amendment) and broker non-votes will result on these proposals.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Votes Required</w:t>
      </w:r>
    </w:p>
    <w:p>
      <w:pPr>
        <w:spacing w:after="0" w:line="222" w:lineRule="exact"/>
        <w:rPr>
          <w:sz w:val="20"/>
          <w:szCs w:val="20"/>
          <w:color w:val="auto"/>
        </w:rPr>
      </w:pPr>
    </w:p>
    <w:p>
      <w:pPr>
        <w:ind w:firstLine="42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Proposal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Election of Directors</w:t>
      </w:r>
      <w:r>
        <w:rPr>
          <w:rFonts w:ascii="Times New Roman" w:cs="Times New Roman" w:eastAsia="Times New Roman" w:hAnsi="Times New Roman"/>
          <w:sz w:val="18"/>
          <w:szCs w:val="18"/>
          <w:color w:val="auto"/>
        </w:rPr>
        <w:t>. Directors will be elected by a plurality of the votes of the shares present in person or represented by proxy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vote on the election of directors. Stockholders will be given the choice to vote “for” or “withhold” votes for each nominee. Thus, the eight nominees receiving the greatest number of votes “FOR” their election will be elected. Broker non-votes do not represent “for” or “withhold” votes as they are not entitled to vote and therefore broker non-votes will not affect the outcome of the vote for this proposal.</w:t>
      </w:r>
    </w:p>
    <w:p>
      <w:pPr>
        <w:spacing w:after="0" w:line="177" w:lineRule="exact"/>
        <w:rPr>
          <w:sz w:val="20"/>
          <w:szCs w:val="20"/>
          <w:color w:val="auto"/>
        </w:rPr>
      </w:pPr>
    </w:p>
    <w:p>
      <w:pPr>
        <w:ind w:right="40" w:firstLine="427"/>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Proposal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Ratification of Independent Registered Public Accounting Firm. </w:t>
      </w:r>
      <w:r>
        <w:rPr>
          <w:rFonts w:ascii="Times New Roman" w:cs="Times New Roman" w:eastAsia="Times New Roman" w:hAnsi="Times New Roman"/>
          <w:sz w:val="18"/>
          <w:szCs w:val="18"/>
          <w:color w:val="auto"/>
        </w:rPr>
        <w:t>The affirmative vote of a majority of the votes cast on this proposal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for the ratification of the selection of KPMG as our independent registered public accounting firm for the year ending December 31, 2026. Stockholders will be given the choice to vote “for” or “against” or “abstain” on this proposal. Abstentions are not considered votes cast and therefore will not affect the outcome of the vote. Brokers have discretionary authority in the absence of timely instructions from their beneficial owners to vote on this proposal. As a result, broker non-votes are not expected on this proposal.</w:t>
      </w:r>
    </w:p>
    <w:p>
      <w:pPr>
        <w:sectPr>
          <w:pgSz w:w="11900" w:h="16838" w:orient="portrait"/>
          <w:cols w:equalWidth="0" w:num="1">
            <w:col w:w="11240"/>
          </w:cols>
          <w:pgMar w:left="320" w:top="121" w:right="339" w:bottom="384"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384"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ind w:right="160" w:firstLine="427"/>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Proposal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Advisory Say-on-Pay Vote</w:t>
      </w:r>
      <w:r>
        <w:rPr>
          <w:rFonts w:ascii="Times New Roman" w:cs="Times New Roman" w:eastAsia="Times New Roman" w:hAnsi="Times New Roman"/>
          <w:sz w:val="18"/>
          <w:szCs w:val="18"/>
          <w:color w:val="auto"/>
        </w:rPr>
        <w:t>. The affirmative vote of a majority of the shares cast on this proposal is required for approval, on an advisory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of the compensation of our Named Executive Officers as disclosed in the proxy statement. Stockholders will be given the choice to vote “for” or “against” or “abstain” on this proposal. Abstentions and broker non-votes are not considered votes cast and therefore will not affect the outcome of the vote for this proposal.</w:t>
      </w:r>
    </w:p>
    <w:p>
      <w:pPr>
        <w:spacing w:after="0" w:line="177" w:lineRule="exact"/>
        <w:rPr>
          <w:sz w:val="20"/>
          <w:szCs w:val="20"/>
          <w:color w:val="auto"/>
        </w:rPr>
      </w:pPr>
    </w:p>
    <w:p>
      <w:pPr>
        <w:ind w:right="200" w:firstLine="427"/>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Proposal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Auerbach Warrant Amendment</w:t>
      </w:r>
      <w:r>
        <w:rPr>
          <w:rFonts w:ascii="Times New Roman" w:cs="Times New Roman" w:eastAsia="Times New Roman" w:hAnsi="Times New Roman"/>
          <w:sz w:val="18"/>
          <w:szCs w:val="18"/>
          <w:color w:val="auto"/>
        </w:rPr>
        <w:t>. The affirmative vote of a majority of the votes cast on this proposal is required for the approval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Auerbach Warrant Amendment. Stockholders will be given the choice to vote “for” or “against” or “abstain” on this proposal. Abstentions and broker non-votes are not considered votes cast and therefore will not affect the outcome of the vote for this proposal.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4" w:lineRule="exact"/>
        <w:rPr>
          <w:sz w:val="20"/>
          <w:szCs w:val="20"/>
          <w:color w:val="auto"/>
        </w:rPr>
      </w:pPr>
    </w:p>
    <w:p>
      <w:pPr>
        <w:ind w:right="60" w:firstLine="427"/>
        <w:spacing w:after="0" w:line="273" w:lineRule="auto"/>
        <w:rPr>
          <w:sz w:val="20"/>
          <w:szCs w:val="20"/>
          <w:color w:val="auto"/>
        </w:rPr>
      </w:pPr>
      <w:r>
        <w:rPr>
          <w:rFonts w:ascii="Times New Roman" w:cs="Times New Roman" w:eastAsia="Times New Roman" w:hAnsi="Times New Roman"/>
          <w:sz w:val="17"/>
          <w:szCs w:val="17"/>
          <w:color w:val="auto"/>
        </w:rPr>
        <w:t>Our Board is soliciting proxies for the annual meeting from our stockholders. We will bear the entire cost of soliciting proxies from our stockholders. In addition to the solicitation of proxies by delivery of the Notice or proxy statement by mail, we will request that brokers that hold shares of our common stock, which are beneficially owned by our stockholders, send Notices, proxies and proxy materials to those beneficial owners and secure those beneficial owners’ voting instructions. We will reimburse the brokers for their reasonable expenses. We may assign one or more of our regular employees, who will not be specially compensated, to solicit proxies from our stockholders, either personally or by telephone, Internet, facsimile or special delivery letter.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Assistance</w:t>
      </w:r>
    </w:p>
    <w:p>
      <w:pPr>
        <w:spacing w:after="0" w:line="224" w:lineRule="exact"/>
        <w:rPr>
          <w:sz w:val="20"/>
          <w:szCs w:val="20"/>
          <w:color w:val="auto"/>
        </w:rPr>
      </w:pPr>
    </w:p>
    <w:p>
      <w:pPr>
        <w:ind w:right="40" w:firstLine="427"/>
        <w:spacing w:after="0" w:line="277" w:lineRule="auto"/>
        <w:rPr>
          <w:sz w:val="20"/>
          <w:szCs w:val="20"/>
          <w:color w:val="auto"/>
        </w:rPr>
      </w:pPr>
      <w:r>
        <w:rPr>
          <w:rFonts w:ascii="Times New Roman" w:cs="Times New Roman" w:eastAsia="Times New Roman" w:hAnsi="Times New Roman"/>
          <w:sz w:val="18"/>
          <w:szCs w:val="18"/>
          <w:color w:val="auto"/>
        </w:rPr>
        <w:t>If you need assistance in submitting your proxy over the Internet or completing your proxy card or have questions regarding the annual meeting, please contact Investor Relations at (424) 248-6500 or ir@pumabiotechnology.com.</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Structure</w:t>
      </w:r>
    </w:p>
    <w:p>
      <w:pPr>
        <w:spacing w:after="0" w:line="224" w:lineRule="exact"/>
        <w:rPr>
          <w:sz w:val="20"/>
          <w:szCs w:val="20"/>
          <w:color w:val="auto"/>
        </w:rPr>
      </w:pPr>
    </w:p>
    <w:p>
      <w:pPr>
        <w:ind w:right="160" w:firstLine="427"/>
        <w:spacing w:after="0" w:line="277" w:lineRule="auto"/>
        <w:rPr>
          <w:sz w:val="20"/>
          <w:szCs w:val="20"/>
          <w:color w:val="auto"/>
        </w:rPr>
      </w:pPr>
      <w:r>
        <w:rPr>
          <w:rFonts w:ascii="Times New Roman" w:cs="Times New Roman" w:eastAsia="Times New Roman" w:hAnsi="Times New Roman"/>
          <w:sz w:val="18"/>
          <w:szCs w:val="18"/>
          <w:color w:val="auto"/>
        </w:rPr>
        <w:t>Under our fifth amended and restated bylaws (“Bylaws”), the number of directors shall be fixed from time to time by resolutions of the directors. Our Board has fixed the size of the Board at eight members, and we have eight current members of the Board.</w:t>
      </w:r>
    </w:p>
    <w:p>
      <w:pPr>
        <w:spacing w:after="0" w:line="163" w:lineRule="exact"/>
        <w:rPr>
          <w:sz w:val="20"/>
          <w:szCs w:val="20"/>
          <w:color w:val="auto"/>
        </w:rPr>
      </w:pPr>
    </w:p>
    <w:p>
      <w:pPr>
        <w:ind w:right="200" w:firstLine="427"/>
        <w:spacing w:after="0" w:line="254" w:lineRule="auto"/>
        <w:rPr>
          <w:sz w:val="20"/>
          <w:szCs w:val="20"/>
          <w:color w:val="auto"/>
        </w:rPr>
      </w:pPr>
      <w:r>
        <w:rPr>
          <w:rFonts w:ascii="Times New Roman" w:cs="Times New Roman" w:eastAsia="Times New Roman" w:hAnsi="Times New Roman"/>
          <w:sz w:val="18"/>
          <w:szCs w:val="18"/>
          <w:color w:val="auto"/>
        </w:rPr>
        <w:t>In evaluating the suitability of individual Board candidates and members, the Nominating and Corporate Governance Committee and Board consider many factors including experience, wisdom, integrity, skills (such as understanding of finance and marketing), educational and professional background, geography, culture, viewpoints, background and perspectives and willingness and ability to devote adequate time to Board duties. The Board has actively sought and appointed qualified female candidates and other diverse directors. For more information concerning the director recruitment and nominating process, please see “Nominating and Corporate Governance Committee”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Board Nominees</w:t>
      </w:r>
    </w:p>
    <w:p>
      <w:pPr>
        <w:spacing w:after="0" w:line="224" w:lineRule="exact"/>
        <w:rPr>
          <w:sz w:val="20"/>
          <w:szCs w:val="20"/>
          <w:color w:val="auto"/>
        </w:rPr>
      </w:pPr>
    </w:p>
    <w:p>
      <w:pPr>
        <w:ind w:right="160" w:firstLine="427"/>
        <w:spacing w:after="0" w:line="269" w:lineRule="auto"/>
        <w:rPr>
          <w:sz w:val="20"/>
          <w:szCs w:val="20"/>
          <w:color w:val="auto"/>
        </w:rPr>
      </w:pPr>
      <w:r>
        <w:rPr>
          <w:rFonts w:ascii="Times New Roman" w:cs="Times New Roman" w:eastAsia="Times New Roman" w:hAnsi="Times New Roman"/>
          <w:sz w:val="17"/>
          <w:szCs w:val="17"/>
          <w:color w:val="auto"/>
        </w:rPr>
        <w:t>Based upon the recommendation of our Nominating and Corporate Governance Committee, our Board has nominated Alan H. Auerbach, Alessandra Cesano, Allison Dorval, Michael P. Miller, Jay M. Moyes, Adrian M. Senderowicz, Brian Stuglik, and Troy E. Wilson for re-election as directors to the Board. If elected, each director will serve a one-year term expiring at the close of our next annual meeting in 2027, and until such director’s successor is elected and qualified, or until such director’s earlier resignation or removal. Each of Messrs. Auerbach, Miller, Moyes, and Stuglik, Ms. Dorval, and Drs. Cesano, Senderowicz and Wilson currently serve on our Board, and each has agreed to serve if re-elected. If any nominee should become unavailable for election prior to the annual meeting (an event that currently is not anticipated by the Board), the proxies will be voted in favor of the election of a substitute nominee or nominees proposed by the Board or, alternatively, the authorized number of directors may be reduced accordingly by the Board.</w:t>
      </w:r>
    </w:p>
    <w:p>
      <w:pPr>
        <w:spacing w:after="0" w:line="174" w:lineRule="exact"/>
        <w:rPr>
          <w:sz w:val="20"/>
          <w:szCs w:val="20"/>
          <w:color w:val="auto"/>
        </w:rPr>
      </w:pPr>
    </w:p>
    <w:p>
      <w:pPr>
        <w:ind w:firstLine="427"/>
        <w:spacing w:after="0" w:line="277" w:lineRule="auto"/>
        <w:rPr>
          <w:sz w:val="20"/>
          <w:szCs w:val="20"/>
          <w:color w:val="auto"/>
        </w:rPr>
      </w:pPr>
      <w:r>
        <w:rPr>
          <w:rFonts w:ascii="Times New Roman" w:cs="Times New Roman" w:eastAsia="Times New Roman" w:hAnsi="Times New Roman"/>
          <w:sz w:val="18"/>
          <w:szCs w:val="18"/>
          <w:color w:val="auto"/>
        </w:rPr>
        <w:t>Set forth below is certain information with respect to the nominees as of the record date. Proxies cannot be voted for a greater number of nominees than the eight nominees set forth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Nominating</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3"/>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and Corporate</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Research and</w:t>
            </w:r>
          </w:p>
        </w:tc>
      </w:tr>
      <w:tr>
        <w:trPr>
          <w:trHeight w:val="213"/>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Governance</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Development</w:t>
            </w:r>
          </w:p>
        </w:tc>
      </w:tr>
      <w:tr>
        <w:trPr>
          <w:trHeight w:val="23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Director Since</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r>
      <w:tr>
        <w:trPr>
          <w:trHeight w:val="207"/>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H. Auerbach</w:t>
            </w:r>
          </w:p>
        </w:tc>
        <w:tc>
          <w:tcPr>
            <w:tcW w:w="136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56</w:t>
            </w:r>
          </w:p>
        </w:tc>
        <w:tc>
          <w:tcPr>
            <w:tcW w:w="136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2010</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Alessandra Cesano, M.D., Ph.D.</w:t>
            </w:r>
          </w:p>
        </w:tc>
        <w:tc>
          <w:tcPr>
            <w:tcW w:w="13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9"/>
              </w:rPr>
              <w:t>65</w:t>
            </w:r>
          </w:p>
        </w:tc>
        <w:tc>
          <w:tcPr>
            <w:tcW w:w="136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r>
      <w:tr>
        <w:trPr>
          <w:trHeight w:val="21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Allison Dorval</w:t>
            </w:r>
          </w:p>
        </w:tc>
        <w:tc>
          <w:tcPr>
            <w:tcW w:w="136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50</w:t>
            </w:r>
          </w:p>
        </w:tc>
        <w:tc>
          <w:tcPr>
            <w:tcW w:w="136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Michael P. Miller</w:t>
            </w:r>
          </w:p>
        </w:tc>
        <w:tc>
          <w:tcPr>
            <w:tcW w:w="13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9"/>
              </w:rPr>
              <w:t>69</w:t>
            </w:r>
          </w:p>
        </w:tc>
        <w:tc>
          <w:tcPr>
            <w:tcW w:w="136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Jay M. Moyes*</w:t>
            </w:r>
          </w:p>
        </w:tc>
        <w:tc>
          <w:tcPr>
            <w:tcW w:w="136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72</w:t>
            </w:r>
          </w:p>
        </w:tc>
        <w:tc>
          <w:tcPr>
            <w:tcW w:w="136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2012</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Adrian M. Senderowicz, M.D.</w:t>
            </w:r>
          </w:p>
        </w:tc>
        <w:tc>
          <w:tcPr>
            <w:tcW w:w="13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9"/>
              </w:rPr>
              <w:t>62</w:t>
            </w:r>
          </w:p>
        </w:tc>
        <w:tc>
          <w:tcPr>
            <w:tcW w:w="136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1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Stuglik, R.Ph.</w:t>
            </w:r>
          </w:p>
        </w:tc>
        <w:tc>
          <w:tcPr>
            <w:tcW w:w="136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66</w:t>
            </w:r>
          </w:p>
        </w:tc>
        <w:tc>
          <w:tcPr>
            <w:tcW w:w="136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Troy E. Wilson, Ph.D., J.D.</w:t>
            </w:r>
          </w:p>
        </w:tc>
        <w:tc>
          <w:tcPr>
            <w:tcW w:w="13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9"/>
              </w:rPr>
              <w:t>57</w:t>
            </w:r>
          </w:p>
        </w:tc>
        <w:tc>
          <w:tcPr>
            <w:tcW w:w="136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9"/>
              </w:rPr>
              <w:t>2013</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r>
    </w:tbl>
    <w:p>
      <w:pPr>
        <w:spacing w:after="0" w:line="176" w:lineRule="exact"/>
        <w:rPr>
          <w:sz w:val="20"/>
          <w:szCs w:val="20"/>
          <w:color w:val="auto"/>
        </w:rPr>
      </w:pPr>
    </w:p>
    <w:p>
      <w:pPr>
        <w:ind w:right="8840" w:firstLine="7"/>
        <w:spacing w:after="0" w:line="258" w:lineRule="auto"/>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Independent Director “C” Current Chair</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  Current Member</w:t>
      </w:r>
    </w:p>
    <w:p>
      <w:pPr>
        <w:sectPr>
          <w:pgSz w:w="11900" w:h="16838" w:orient="portrait"/>
          <w:cols w:equalWidth="0" w:num="1">
            <w:col w:w="11240"/>
          </w:cols>
          <w:pgMar w:left="320" w:top="121" w:right="339" w:bottom="1440" w:gutter="0" w:footer="0" w:header="0"/>
        </w:sect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right="600" w:firstLine="427"/>
        <w:spacing w:after="0" w:line="277" w:lineRule="auto"/>
        <w:rPr>
          <w:sz w:val="20"/>
          <w:szCs w:val="20"/>
          <w:color w:val="auto"/>
        </w:rPr>
      </w:pPr>
      <w:r>
        <w:rPr>
          <w:rFonts w:ascii="Times New Roman" w:cs="Times New Roman" w:eastAsia="Times New Roman" w:hAnsi="Times New Roman"/>
          <w:sz w:val="18"/>
          <w:szCs w:val="18"/>
          <w:color w:val="auto"/>
        </w:rPr>
        <w:t>The average tenure of our Board is 9.2 years, comprised of two directors with less than five years of experience, two directors with 5-9 years of experience, and four directors with 10+ years of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1452880</wp:posOffset>
            </wp:positionH>
            <wp:positionV relativeFrom="paragraph">
              <wp:posOffset>132080</wp:posOffset>
            </wp:positionV>
            <wp:extent cx="4236085" cy="27622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36085" cy="276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directors possess a range of diverse skills, backgrounds, experience and viewpoints that we believe are integral to an effective 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experience matrix below identifies certain of our directors’ experiences, strengths and qualifications by person.</w:t>
      </w:r>
    </w:p>
    <w:p>
      <w:pPr>
        <w:spacing w:after="0" w:line="199"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3080" w:type="dxa"/>
            <w:vAlign w:val="bottom"/>
            <w:tcBorders>
              <w:top w:val="single" w:sz="8" w:color="auto"/>
              <w:bottom w:val="single" w:sz="8" w:color="auto"/>
              <w:right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Auerbach</w:t>
            </w: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Cesano</w:t>
            </w: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Dorval</w:t>
            </w: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Miller</w:t>
            </w:r>
          </w:p>
        </w:tc>
        <w:tc>
          <w:tcPr>
            <w:tcW w:w="860" w:type="dxa"/>
            <w:vAlign w:val="bottom"/>
            <w:tcBorders>
              <w:top w:val="single" w:sz="8" w:color="auto"/>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7"/>
              </w:rPr>
              <w:t>Moyes</w:t>
            </w:r>
          </w:p>
        </w:tc>
        <w:tc>
          <w:tcPr>
            <w:tcW w:w="1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Senderowicz</w:t>
            </w: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Stuglik</w:t>
            </w: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Wilson</w:t>
            </w:r>
          </w:p>
        </w:tc>
      </w:tr>
      <w:tr>
        <w:trPr>
          <w:trHeight w:val="207"/>
        </w:trPr>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Senior Executive Leadership</w:t>
            </w:r>
          </w:p>
        </w:tc>
        <w:tc>
          <w:tcPr>
            <w:tcW w:w="98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60" w:type="dxa"/>
            <w:vAlign w:val="bottom"/>
            <w:tcBorders>
              <w:bottom w:val="single" w:sz="8" w:color="auto"/>
            </w:tcBorders>
          </w:tcPr>
          <w:p>
            <w:pPr>
              <w:jc w:val="center"/>
              <w:ind w:left="11"/>
              <w:spacing w:after="0" w:line="181" w:lineRule="exact"/>
              <w:rPr>
                <w:sz w:val="20"/>
                <w:szCs w:val="20"/>
                <w:color w:val="auto"/>
              </w:rPr>
            </w:pPr>
            <w:r>
              <w:rPr>
                <w:rFonts w:ascii="MS PGothic" w:cs="MS PGothic" w:eastAsia="MS PGothic" w:hAnsi="MS PGothic"/>
                <w:sz w:val="18"/>
                <w:szCs w:val="18"/>
                <w:color w:val="auto"/>
                <w:w w:val="88"/>
              </w:rPr>
              <w:t>✔</w:t>
            </w:r>
          </w:p>
        </w:tc>
        <w:tc>
          <w:tcPr>
            <w:tcW w:w="12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4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7"/>
        </w:trPr>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Public Company Board</w:t>
            </w:r>
          </w:p>
        </w:tc>
        <w:tc>
          <w:tcPr>
            <w:tcW w:w="98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60" w:type="dxa"/>
            <w:vAlign w:val="bottom"/>
            <w:tcBorders>
              <w:bottom w:val="single" w:sz="8" w:color="auto"/>
            </w:tcBorders>
          </w:tcPr>
          <w:p>
            <w:pPr>
              <w:jc w:val="center"/>
              <w:ind w:left="11"/>
              <w:spacing w:after="0" w:line="181" w:lineRule="exact"/>
              <w:rPr>
                <w:sz w:val="20"/>
                <w:szCs w:val="20"/>
                <w:color w:val="auto"/>
              </w:rPr>
            </w:pPr>
            <w:r>
              <w:rPr>
                <w:rFonts w:ascii="MS PGothic" w:cs="MS PGothic" w:eastAsia="MS PGothic" w:hAnsi="MS PGothic"/>
                <w:sz w:val="18"/>
                <w:szCs w:val="18"/>
                <w:color w:val="auto"/>
                <w:w w:val="88"/>
              </w:rPr>
              <w:t>✔</w:t>
            </w:r>
          </w:p>
        </w:tc>
        <w:tc>
          <w:tcPr>
            <w:tcW w:w="1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4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7"/>
        </w:trPr>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Pharmaceutical/Biotechnology</w:t>
            </w:r>
          </w:p>
        </w:tc>
        <w:tc>
          <w:tcPr>
            <w:tcW w:w="98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60" w:type="dxa"/>
            <w:vAlign w:val="bottom"/>
            <w:tcBorders>
              <w:bottom w:val="single" w:sz="8" w:color="auto"/>
            </w:tcBorders>
          </w:tcPr>
          <w:p>
            <w:pPr>
              <w:jc w:val="center"/>
              <w:ind w:left="11"/>
              <w:spacing w:after="0" w:line="181" w:lineRule="exact"/>
              <w:rPr>
                <w:sz w:val="20"/>
                <w:szCs w:val="20"/>
                <w:color w:val="auto"/>
              </w:rPr>
            </w:pPr>
            <w:r>
              <w:rPr>
                <w:rFonts w:ascii="MS PGothic" w:cs="MS PGothic" w:eastAsia="MS PGothic" w:hAnsi="MS PGothic"/>
                <w:sz w:val="18"/>
                <w:szCs w:val="18"/>
                <w:color w:val="auto"/>
                <w:w w:val="88"/>
              </w:rPr>
              <w:t>✔</w:t>
            </w:r>
          </w:p>
        </w:tc>
        <w:tc>
          <w:tcPr>
            <w:tcW w:w="12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4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7"/>
        </w:trPr>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Financial/Accounting or Audit</w:t>
            </w:r>
          </w:p>
        </w:tc>
        <w:tc>
          <w:tcPr>
            <w:tcW w:w="98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11"/>
              <w:spacing w:after="0" w:line="181" w:lineRule="exact"/>
              <w:rPr>
                <w:sz w:val="20"/>
                <w:szCs w:val="20"/>
                <w:color w:val="auto"/>
              </w:rPr>
            </w:pPr>
            <w:r>
              <w:rPr>
                <w:rFonts w:ascii="MS PGothic" w:cs="MS PGothic" w:eastAsia="MS PGothic" w:hAnsi="MS PGothic"/>
                <w:sz w:val="18"/>
                <w:szCs w:val="18"/>
                <w:color w:val="auto"/>
                <w:w w:val="88"/>
              </w:rPr>
              <w:t>✔</w:t>
            </w:r>
          </w:p>
        </w:tc>
        <w:tc>
          <w:tcPr>
            <w:tcW w:w="12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4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7"/>
        </w:trPr>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Commercialization/Sales/Marketing</w:t>
            </w:r>
          </w:p>
        </w:tc>
        <w:tc>
          <w:tcPr>
            <w:tcW w:w="98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40" w:type="dxa"/>
            <w:vAlign w:val="bottom"/>
            <w:tcBorders>
              <w:bottom w:val="single" w:sz="8" w:color="auto"/>
            </w:tcBorders>
          </w:tcPr>
          <w:p>
            <w:pPr>
              <w:spacing w:after="0"/>
              <w:rPr>
                <w:sz w:val="17"/>
                <w:szCs w:val="17"/>
                <w:color w:val="auto"/>
              </w:rPr>
            </w:pPr>
          </w:p>
        </w:tc>
      </w:tr>
      <w:tr>
        <w:trPr>
          <w:trHeight w:val="207"/>
        </w:trPr>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98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4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7"/>
        </w:trPr>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Regulatory or Risk Management</w:t>
            </w:r>
          </w:p>
        </w:tc>
        <w:tc>
          <w:tcPr>
            <w:tcW w:w="98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07"/>
        </w:trPr>
        <w:tc>
          <w:tcPr>
            <w:tcW w:w="30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Advanced Education in Science</w:t>
            </w:r>
          </w:p>
        </w:tc>
        <w:tc>
          <w:tcPr>
            <w:tcW w:w="98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Biographical Information</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biographical information is furnished with respect to our current directors who are nominees for re-election at the annual meeting.</w:t>
      </w:r>
    </w:p>
    <w:p>
      <w:pPr>
        <w:spacing w:after="0" w:line="218" w:lineRule="exact"/>
        <w:rPr>
          <w:sz w:val="20"/>
          <w:szCs w:val="20"/>
          <w:color w:val="auto"/>
        </w:rPr>
      </w:pPr>
    </w:p>
    <w:p>
      <w:pPr>
        <w:ind w:firstLine="427"/>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Alan H. Auerbach. </w:t>
      </w:r>
      <w:r>
        <w:rPr>
          <w:rFonts w:ascii="Times New Roman" w:cs="Times New Roman" w:eastAsia="Times New Roman" w:hAnsi="Times New Roman"/>
          <w:sz w:val="17"/>
          <w:szCs w:val="17"/>
          <w:color w:val="auto"/>
        </w:rPr>
        <w:t>Mr. Auerbach has served as Chairman of our Board and as our President, Chief Executive Officer and Secretary since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inception in September 2010. Prior to founding the Company, Mr. Auerbach founded Cougar Biotechnology, Inc. (“Cougar”), a biotechnology company, in May 2003 and served as Chief Executive Officer, President and a member of its board of directors until July 2009, when Cougar was acquired by Johnson &amp; Johnson. From July 2009 until January 2010, Mr. Auerbach served as Co-Chairman of the Integration Steering Committee at Cougar (as part of Johnson &amp; Johnson) that provided leadership and oversight for the development and global commercialization of Cougar’s lead drug candidate, abiraterone acetate, for the treatment of advanced prostate cancer. Prior to founding Cougar, from June 1998 to April 2003, Mr. Auerbach was Vice President, Senior Research Analyst at Wells Fargo Securities, where he was responsible for research coverage of small- and middle-capitalization biotechnology companies, with a focus on companies in the field of oncology. Mr. Auerbach served as a director of Radius Health, Inc., a public pharmaceutical company focused on acquiring and developing new therapeutics for the treatment of osteoporosis and other women’s health conditions, from May 2011 to December 2017 and its predecessor entity from October 2010 to May 2011. Mr. Auerbach received a B.S. in Biomedical Engineering from Boston University and an M.S. in Biomedical Engineering from the University of Southern California. Mr. Auerbach was nominated to serve as a director because of his position as our President and Chief Executive Officer and his significant experience as an executive and research analyst in the biotechnology industry.</w:t>
      </w:r>
    </w:p>
    <w:p>
      <w:pPr>
        <w:spacing w:after="0" w:line="177" w:lineRule="exact"/>
        <w:rPr>
          <w:sz w:val="20"/>
          <w:szCs w:val="20"/>
          <w:color w:val="auto"/>
        </w:rPr>
      </w:pPr>
    </w:p>
    <w:p>
      <w:pPr>
        <w:ind w:right="180" w:firstLine="427"/>
        <w:spacing w:after="0" w:line="262" w:lineRule="auto"/>
        <w:rPr>
          <w:sz w:val="20"/>
          <w:szCs w:val="20"/>
          <w:color w:val="auto"/>
        </w:rPr>
      </w:pPr>
      <w:r>
        <w:rPr>
          <w:rFonts w:ascii="Times New Roman" w:cs="Times New Roman" w:eastAsia="Times New Roman" w:hAnsi="Times New Roman"/>
          <w:sz w:val="18"/>
          <w:szCs w:val="18"/>
          <w:color w:val="auto"/>
        </w:rPr>
        <w:t>Our employment agreement with Mr. Auerbach dated January 19, 2012 provides that Mr. Auerbach will be nominated for election to our Board if the term of his directorship expires during the term of the employment agreement. The original term of his employment agreement was through September 1, 2014, but is subject to successive automatic one-year renewal terms.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ind w:right="80" w:firstLine="427"/>
        <w:spacing w:after="0" w:line="249" w:lineRule="auto"/>
        <w:rPr>
          <w:sz w:val="20"/>
          <w:szCs w:val="20"/>
          <w:color w:val="auto"/>
        </w:rPr>
      </w:pPr>
      <w:r>
        <w:rPr>
          <w:rFonts w:ascii="Times New Roman" w:cs="Times New Roman" w:eastAsia="Times New Roman" w:hAnsi="Times New Roman"/>
          <w:sz w:val="18"/>
          <w:szCs w:val="18"/>
          <w:i w:val="1"/>
          <w:iCs w:val="1"/>
          <w:color w:val="auto"/>
        </w:rPr>
        <w:t>Alessandra Cesano</w:t>
      </w:r>
      <w:r>
        <w:rPr>
          <w:rFonts w:ascii="Times New Roman" w:cs="Times New Roman" w:eastAsia="Times New Roman" w:hAnsi="Times New Roman"/>
          <w:sz w:val="18"/>
          <w:szCs w:val="18"/>
          <w:color w:val="auto"/>
        </w:rPr>
        <w:t>, M.D., Ph.D. has been a director since July 2022. Dr. Cesano has served as a member of the board of directors of Summit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Therapeutics Inc., a public biopharmaceutical oncology company, since November 2022, and a member of the board of directors of Zymeworks, a public, clinical-stage biotechnology company, since February 2024. Dr. Cesano served as the Chief Medical Officer of ESSA Pharma Inc., a pharmaceutical company developing therapies for the treatment of prostate cancer, from July 2019, and as Executive Vice President from 2023, until May 2025. From July 2015 until June 2019, Dr. Cesano was the Chief Medical Officer of NanoString Inc., a biotechnology company that develops translational research tools, where she focused on the development of translational and diagnostic multi-plexed assays for the characterization and measurement of mechanisms of immune response/resistance. Prior to NanoString, Dr. Cesano was Chief Medical Officer at Cleave Biosciences, Inc., a biopharmaceutical company focusing on protein therapies for the treatment of cancer and neurodegenerative diseases, and before that she served as Chief Medical Officer and Chief Operations Officer at Nodality, Inc., where she built and led the Research &amp; Development group, while providing the overall clinical vision for the organization. Between 1998 and 2008, Dr. Cesano held various management positions at Amgen Inc., Biogen Inc. (formerly Biogen Idec) and SmithKline Beecham Pharmaceuticals, where she helped to advance various oncology drugs through late stage development and FDA approvals. Early in her professional career, she spent 12 years conducting research in tumor immunology, including nine years at the Wistar Institute, an NCI Basic Cancer Center connected with the University of Pennsylvania. Dr. Cesano also holds membership in several professional and scientific societies including ASCO, ESMO, ASH, EHA, AACR and the Society of Immunotherapy of Cancer (“SITC”). In the latter, she has served as co-chair in the SITC Industry Committee and of the SITC Biomarker Working Group, and she currently serves as Associate Editor for the Biomarker section of the Journal for ImmunoTherapy of Cancer, co-chair of the Regulatory Committee, and as the elected At-Large Director of the SITC for the 2020-2023 term. Over her career, she has been an author on over 130 publications. Dr. Cesano received an M.D. summa cum laude, a Board Certification in Oncology and a Ph.D. in Tumor Immunology from the University of Turin. Dr. Cesano was selected as a director because of her extensive background in biotechnology research and development and her experience in the life sciences industry.</w:t>
      </w:r>
    </w:p>
    <w:p>
      <w:pPr>
        <w:spacing w:after="0" w:line="189" w:lineRule="exact"/>
        <w:rPr>
          <w:sz w:val="20"/>
          <w:szCs w:val="20"/>
          <w:color w:val="auto"/>
        </w:rPr>
      </w:pPr>
    </w:p>
    <w:p>
      <w:pPr>
        <w:ind w:firstLine="427"/>
        <w:spacing w:after="0" w:line="249" w:lineRule="auto"/>
        <w:rPr>
          <w:sz w:val="20"/>
          <w:szCs w:val="20"/>
          <w:color w:val="auto"/>
        </w:rPr>
      </w:pPr>
      <w:r>
        <w:rPr>
          <w:rFonts w:ascii="Times New Roman" w:cs="Times New Roman" w:eastAsia="Times New Roman" w:hAnsi="Times New Roman"/>
          <w:sz w:val="18"/>
          <w:szCs w:val="18"/>
          <w:i w:val="1"/>
          <w:iCs w:val="1"/>
          <w:color w:val="auto"/>
        </w:rPr>
        <w:t>Allison Dorval</w:t>
      </w:r>
      <w:r>
        <w:rPr>
          <w:rFonts w:ascii="Times New Roman" w:cs="Times New Roman" w:eastAsia="Times New Roman" w:hAnsi="Times New Roman"/>
          <w:sz w:val="18"/>
          <w:szCs w:val="18"/>
          <w:color w:val="auto"/>
        </w:rPr>
        <w:t>. Ms. Dorval has been a director since July 2021. Ms. Dorval has served as the Chief Financial Officer of AIRNA Corporation, a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biotechnology company, since September 2025. Previously, Ms. Dorval was the Chief Financial Officer for Verve Therapeutics, Inc. (“Verve”), a public biotechnology company, from November 2021 to July 2025. From November 2018 to November 2021, Ms. Dorval served as the Chief Financial Officer of Voyager Therapeutics, Inc. (“Voyager”), a public clinical stage gene therapy company, and as Voyager’s principal financial officer and principal accounting officer. Ms. Dorval joined Voyager as its Vice President of Finance from June 2017 to November 2018. Prior to joining Voyager, Ms. Dorval served as Vice President and Controller of Juniper Pharmaceuticals, Inc., a biopharmaceutical company, from August 2016 to June 2017, and as a consultant at Danforth Advisors, a life sciences consultancy focusing on accounting and financial matters, from September 2015 to August 2016. In connection with her role at Danforth, Ms. Dorval served as interim Chief Financial Officer of medical device companies 480 Biomedical, Inc. and Arsenal Medical, Inc. from December 2015 to August 2016. Prior to her time at Danforth, Ms. Dorval served in several roles at Insulet Corporation, a medical device company, from August 2008 to July 2015, including as Chief Financial Officer from November 2014 to May 2015 and as Vice President and Controller from August 2008 to November 2014. Earlier in her career, Ms. Dorval served in various financial and accounting capacities at iBasis, Inc., a telecommunications company; Digitas Inc., an advertising company; and PricewaterhouseCoopers LLP. She previously served on the board of directors of Aerovate Therapeutics Inc., a public biopharmaceutical company, from July 2021 through April 2025. Ms. Dorval received a B.S. in Business Administration, with a concentration in Accounting, from the University of Vermont and has completed a graduate-level certificate program in Taxation at Bentley University’s McCallum Graduate School of Business. Ms. Dorval is a Certified Public Accountant. Ms. Dorval was nominated to serve as a director because of her strong financial background and significant experience in the biopharmaceutical industry.</w:t>
      </w:r>
    </w:p>
    <w:p>
      <w:pPr>
        <w:spacing w:after="0" w:line="193" w:lineRule="exact"/>
        <w:rPr>
          <w:sz w:val="20"/>
          <w:szCs w:val="20"/>
          <w:color w:val="auto"/>
        </w:rPr>
      </w:pPr>
    </w:p>
    <w:p>
      <w:pPr>
        <w:ind w:right="20" w:firstLine="427"/>
        <w:spacing w:after="0" w:line="249" w:lineRule="auto"/>
        <w:rPr>
          <w:sz w:val="20"/>
          <w:szCs w:val="20"/>
          <w:color w:val="auto"/>
        </w:rPr>
      </w:pPr>
      <w:r>
        <w:rPr>
          <w:rFonts w:ascii="Times New Roman" w:cs="Times New Roman" w:eastAsia="Times New Roman" w:hAnsi="Times New Roman"/>
          <w:sz w:val="18"/>
          <w:szCs w:val="18"/>
          <w:i w:val="1"/>
          <w:iCs w:val="1"/>
          <w:color w:val="auto"/>
        </w:rPr>
        <w:t>Michael P. Miller</w:t>
      </w:r>
      <w:r>
        <w:rPr>
          <w:rFonts w:ascii="Times New Roman" w:cs="Times New Roman" w:eastAsia="Times New Roman" w:hAnsi="Times New Roman"/>
          <w:sz w:val="18"/>
          <w:szCs w:val="18"/>
          <w:color w:val="auto"/>
        </w:rPr>
        <w:t>. Mr. Miller has been a director since February 2018. Since January 2022, Mr. Miller has served on the board of directors for BioXcel,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public biotechnology company. Additionally, Mr. Miller has served on the board of directors of Rigel Pharmaceuticals, Inc., a public biotechnology company, since February 2026 where he previously served as a strategic advisor since 2022. Since 2022, Mr. Miller has also served as a strategic advisor to Celcuity, a public biotechnology company, Concarlo Therapeutics, a private biotechnology company, and Heathyr, a private diagnostic company. Mr. Miller served as the Executive Vice President U.S. Commercial of Jazz Pharmaceuticals plc, a public biopharmaceutical company from April 2014 until his retirement in September 2020. From April 2010 to January 2014, Mr. Miller was Senior Vice President and Chief Commercial Officer of Vivus, Inc., a public biopharmaceutical company. From 2006 to 2010, Mr. Miller served as Vice President, leading the HER Family Oncology Franchise, of Genentech, Inc., a biotechnology company and wholly owned subsidiary of Roche Holding Ltd. From 2003 to 2005, Mr. Miller served as the Senior Vice President, Chief Commercial Officer of Connetics Corporation, a specialty pharmaceutical company acquired by Stiefel Laboratories, Inc. (GSK). Previously, from 1997 to 2001, Mr. Miller served as Vice President of the Urology Business Unit of ALZA Corporation, a pharmaceutical company acquired by Johnson &amp; Johnson. Prior to 1997, Mr. Miller served 13 years in various sales and marketing positions at Syntex Corporation, a pharmaceutical company acquired by Roche Holding Ltd. Mr. Miller received a B.S. in Business Administration and Finance from the University of San Francisco and an M.B.A. in Information and Computer Systems from San Francisco State University. Mr. Miller was nominated to serve as a director because of his significant commercialization experience and background in the life sciences industry.</w:t>
      </w:r>
    </w:p>
    <w:p>
      <w:pPr>
        <w:spacing w:after="0" w:line="196" w:lineRule="exact"/>
        <w:rPr>
          <w:sz w:val="20"/>
          <w:szCs w:val="20"/>
          <w:color w:val="auto"/>
        </w:rPr>
      </w:pPr>
    </w:p>
    <w:p>
      <w:pPr>
        <w:ind w:right="20" w:firstLine="427"/>
        <w:spacing w:after="0" w:line="249" w:lineRule="auto"/>
        <w:rPr>
          <w:sz w:val="20"/>
          <w:szCs w:val="20"/>
          <w:color w:val="auto"/>
        </w:rPr>
      </w:pPr>
      <w:r>
        <w:rPr>
          <w:rFonts w:ascii="Times New Roman" w:cs="Times New Roman" w:eastAsia="Times New Roman" w:hAnsi="Times New Roman"/>
          <w:sz w:val="18"/>
          <w:szCs w:val="18"/>
          <w:i w:val="1"/>
          <w:iCs w:val="1"/>
          <w:color w:val="auto"/>
        </w:rPr>
        <w:t>Jay M. Moyes</w:t>
      </w:r>
      <w:r>
        <w:rPr>
          <w:rFonts w:ascii="Times New Roman" w:cs="Times New Roman" w:eastAsia="Times New Roman" w:hAnsi="Times New Roman"/>
          <w:sz w:val="18"/>
          <w:szCs w:val="18"/>
          <w:color w:val="auto"/>
        </w:rPr>
        <w:t>. Mr. Moyes has been a director since April 2012. Mr. Moyes has been a member of the board of directors of SINTX Technologies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(formerly Amedica Corporation), a public orthopedic implant company, since April 2025, where he previously served as Chief Financial Officer from October 2013 to August 2014 and as a member of the board of directors from November 2012 to August 2014. Mr. Moyes has also been a member of the board of directors of Biocardia, Inc., a public cardiovascular regenerative medicine company, since January 2011. Mr. Moyes served as the Chief Financial Officer of Sera Prognostics, Inc., a public commercial-stage biotechnology company focused on improving maternal and neonatal health through innovative biomarker approaches, from March 2020 to June 2023. Mr. Moyes previously served as a member of the board of directors of Achieve Life Sciences, Inc., a public specialty pharmaceutical company, from August 2017 to May 2023; Predictive Technology Group, Inc., a public molecular diagnostics and regenerative medicine company, from February 2019 to December 2019; Osiris Therapeutics, Inc., a public bio-surgery company, from May 2006 until December 2017. He served as Chief Financial Officer of Amedica from October 2013 to August 2014. From May 2008 through July 2009, Mr. Moyes served as Chief Financial Officer of XDx (now CareDx), Inc., a privately held molecular diagnostics company. Prior to that, Mr. Moyes served as Chief Financial Officer of Myriad Genetics, Inc., a public healthcare diagnostics company, from June 1996 until November 2007, and as its Vice President of Finance from July 1993 until June 1996. From 1991 to 1993, Mr. Moyes served as Vice President of Finance and Chief Financial Officer of Genmark, Inc., a privately held genetics company. Mr. Moyes held various positions with the accounting firm of KPMG LLP from 1979 through 1991, most recently as a Senior Manager. He holds an M.B.A. from the University of Utah, a B.A. in economics from Weber State University, and is formerly a Certified Public Accountant. Mr. Moyes also served as a member of the Board of Trustees of the Utah Life Science Association from 1999 through 2006. Mr. Moyes was nominated to serve as a director because his extensive background in finance and accounting and his experience in the life sciences industry enable him to make significant contributions to the Board.</w:t>
      </w:r>
    </w:p>
    <w:p>
      <w:pPr>
        <w:sectPr>
          <w:pgSz w:w="11900" w:h="16838" w:orient="portrait"/>
          <w:cols w:equalWidth="0" w:num="1">
            <w:col w:w="11240"/>
          </w:cols>
          <w:pgMar w:left="320" w:top="121" w:right="339" w:bottom="598" w:gutter="0" w:footer="0" w:header="0"/>
        </w:sectPr>
      </w:pP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598"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ind w:right="60" w:firstLine="427"/>
        <w:spacing w:after="0" w:line="249" w:lineRule="auto"/>
        <w:rPr>
          <w:sz w:val="20"/>
          <w:szCs w:val="20"/>
          <w:color w:val="auto"/>
        </w:rPr>
      </w:pPr>
      <w:r>
        <w:rPr>
          <w:rFonts w:ascii="Times New Roman" w:cs="Times New Roman" w:eastAsia="Times New Roman" w:hAnsi="Times New Roman"/>
          <w:sz w:val="18"/>
          <w:szCs w:val="18"/>
          <w:i w:val="1"/>
          <w:iCs w:val="1"/>
          <w:color w:val="auto"/>
        </w:rPr>
        <w:t>Adrian M. Senderowicz</w:t>
      </w:r>
      <w:r>
        <w:rPr>
          <w:rFonts w:ascii="Times New Roman" w:cs="Times New Roman" w:eastAsia="Times New Roman" w:hAnsi="Times New Roman"/>
          <w:sz w:val="18"/>
          <w:szCs w:val="18"/>
          <w:color w:val="auto"/>
        </w:rPr>
        <w:t>. Dr. Senderowicz has been a director since August 2015. Dr. Senderowicz has been Senior Advisor of Constellation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Pharmaceuticals, Inc., a public clinical-stage biopharmaceutical company focusing on the development of novel tumor-targeted and immuno-oncology therapies, since June 2020 and served as its Senior Vice President and Chief Medical Officer from July 2017 until June 2020. Dr. Senderowicz served as Senior Vice President and Chief Medical Officer of Cerulean Pharma Inc., a public clinical-stage company developing nano-particle conjugates, from September 2015 until June 2017. Dr. Senderowicz served as the Chief Medical Officer and Senior Vice President, Clinical Development and Regulatory Affairs from August 2014 to February 2015, and Clinical and Regulatory Strategy Officer from February 2015 to March 2015 of Ignyta, Inc., a public precision oncology biotechnology company. Prior to joining Ignyta, Dr. Senderowicz was Vice President, Global Regulatory Oncology at Sanofi, a global pharmaceutical company based in France, a position he held from September 2013 to August 2014. Prior to Sanofi, Dr. Senderowicz was Chief Medical Officer and Vice President, Medical Development at Tokai Pharmaceuticals, Inc. from August 2012 to March 2013. From August 2008 to March 2012, Dr. Senderowicz held positions of increasing responsibility, including Senior Medical Director, Oncology Clinical Development at AstraZeneca, a global biopharmaceutical company. Before his tenure at AstraZeneca, Dr. Senderowicz spent almost four years in a variety of leadership positions at the U.S. Food and Drug Administration(“FDA”) Division of Oncology Drug Products in the Center for Drug Evaluation and Research. Prior to his work with the FDA, Dr. Senderowicz held a variety of clinical and research positions, including Coordinator of the Prostate Cancer Drug Development Clinic and Investigator and Chief, Molecular Therapeutics Unit, with the National Cancer Institute/National Institutes of Health. Dr. Senderowicz holds both an M.D. and an Instructor of Pharmacology degree from the School of Medicine at the Universidad de Buenos Aires in Argentina. Dr. Senderowicz was nominated to serve as a director because of his extensive clinical and regulatory background and his significant experience in the life sciences industry.</w:t>
      </w:r>
    </w:p>
    <w:p>
      <w:pPr>
        <w:spacing w:after="0" w:line="193" w:lineRule="exact"/>
        <w:rPr>
          <w:sz w:val="20"/>
          <w:szCs w:val="20"/>
          <w:color w:val="auto"/>
        </w:rPr>
      </w:pPr>
    </w:p>
    <w:p>
      <w:pPr>
        <w:ind w:firstLine="427"/>
        <w:spacing w:after="0" w:line="252" w:lineRule="auto"/>
        <w:rPr>
          <w:sz w:val="20"/>
          <w:szCs w:val="20"/>
          <w:color w:val="auto"/>
        </w:rPr>
      </w:pPr>
      <w:r>
        <w:rPr>
          <w:rFonts w:ascii="Times New Roman" w:cs="Times New Roman" w:eastAsia="Times New Roman" w:hAnsi="Times New Roman"/>
          <w:sz w:val="18"/>
          <w:szCs w:val="18"/>
          <w:i w:val="1"/>
          <w:iCs w:val="1"/>
          <w:color w:val="auto"/>
        </w:rPr>
        <w:t>Brian Stuglik</w:t>
      </w:r>
      <w:r>
        <w:rPr>
          <w:rFonts w:ascii="Times New Roman" w:cs="Times New Roman" w:eastAsia="Times New Roman" w:hAnsi="Times New Roman"/>
          <w:sz w:val="18"/>
          <w:szCs w:val="18"/>
          <w:color w:val="auto"/>
        </w:rPr>
        <w:t>. Mr. Stuglik has been a director since July 2020. Since January 2016, Mr. Stuglik has served as consultant and founder of Proventus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Solutions, a consulting company for pharmaceutical and biotechnology companies, focusing on U.S. and international pharmaceutical development, product strategy, and commercialization. Mr. Stuglik has been a member of the board of directors of Verastem, Inc., a public biopharmaceutical company, since September 2017, where he served as Chief Executive Officer from July 2019 to July 2023. Mr. Stuglik also serves as a member of the board of directors of Oncopeptides AB, a public biotechnology company based in Sweden, since May 2018. Prior to founding Proventus Health Solutions, Mr. Stuglik served as Vice President and Chief Marketing Officer for the oncology division of Eli Lilly and Company, a global pharmaceutical company, from 2009 to December 2015. Mr. Stuglik received a B.S. in Pharmacy from Purdue University. Mr. Stuglik was nominated to serve as a director because of his significant experience and background in the life sciences industry and, in particular, product strategy and commercialization of pharmaceutical therapies.</w:t>
      </w:r>
    </w:p>
    <w:p>
      <w:pPr>
        <w:spacing w:after="0" w:line="183" w:lineRule="exact"/>
        <w:rPr>
          <w:sz w:val="20"/>
          <w:szCs w:val="20"/>
          <w:color w:val="auto"/>
        </w:rPr>
      </w:pPr>
    </w:p>
    <w:p>
      <w:pPr>
        <w:ind w:right="60" w:firstLine="427"/>
        <w:spacing w:after="0" w:line="267" w:lineRule="auto"/>
        <w:rPr>
          <w:sz w:val="20"/>
          <w:szCs w:val="20"/>
          <w:color w:val="auto"/>
        </w:rPr>
      </w:pPr>
      <w:r>
        <w:rPr>
          <w:rFonts w:ascii="Times New Roman" w:cs="Times New Roman" w:eastAsia="Times New Roman" w:hAnsi="Times New Roman"/>
          <w:sz w:val="17"/>
          <w:szCs w:val="17"/>
          <w:i w:val="1"/>
          <w:iCs w:val="1"/>
          <w:color w:val="auto"/>
        </w:rPr>
        <w:t>Troy E. Wilson</w:t>
      </w:r>
      <w:r>
        <w:rPr>
          <w:rFonts w:ascii="Times New Roman" w:cs="Times New Roman" w:eastAsia="Times New Roman" w:hAnsi="Times New Roman"/>
          <w:sz w:val="17"/>
          <w:szCs w:val="17"/>
          <w:color w:val="auto"/>
        </w:rPr>
        <w:t>. Dr. Wilson has been a director since October 2013. Dr. Wilson has been President and Chief Executive Officer and Chairman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board of directors of Kura Oncology, Inc., a public clinical-stage biopharmaceutical company that discovers and develops personalized therapeutics for the treatment of solid tumors and blood cancers, since August 2014. Dr. Wilson also serves as a member of the board of directors of Avidity Biosciences, a public biotechnology company, since November 2012. He served as President and Chief Executive Officer of Avidity Biosciences, Inc., a public biopharmaceutical company, from November 2012 to February 2019 and as President and Chief Executive Officer of Wellspring Biosciences, Inc., a private biopharmaceutical company, and its parent company Araxes Pharma LLC, a private biopharmaceutical company, from July 2012 to March 2019. Dr. Wilson served as President and Chief Executive Officer and a member of the board of directors of Intellikine, Inc., a private biopharmaceutical company, from April 2007 to January 2012 and from August 2007 to January 2012, respectively. He holds a J.D. from New York University and graduated with a Ph.D. in bioorganic chemistry and a B.A. in biophysics from the University of California, Berkeley. Dr. Wilson was nominated to serve as a director because of his executive leadership experience, his background in finance and accounting and his extensive experience in the life sciences industry.</w:t>
      </w:r>
    </w:p>
    <w:p>
      <w:pPr>
        <w:spacing w:after="0" w:line="176" w:lineRule="exact"/>
        <w:rPr>
          <w:sz w:val="20"/>
          <w:szCs w:val="20"/>
          <w:color w:val="auto"/>
        </w:rPr>
      </w:pPr>
    </w:p>
    <w:p>
      <w:pPr>
        <w:ind w:right="540" w:firstLine="427"/>
        <w:spacing w:after="0" w:line="277" w:lineRule="auto"/>
        <w:rPr>
          <w:sz w:val="20"/>
          <w:szCs w:val="20"/>
          <w:color w:val="auto"/>
        </w:rPr>
      </w:pPr>
      <w:r>
        <w:rPr>
          <w:rFonts w:ascii="Times New Roman" w:cs="Times New Roman" w:eastAsia="Times New Roman" w:hAnsi="Times New Roman"/>
          <w:sz w:val="18"/>
          <w:szCs w:val="18"/>
          <w:color w:val="auto"/>
        </w:rPr>
        <w:t>Except as indicated herein with respect to Mr. Auerbach, no arrangements or understandings exist between any director or person nominated for election as a director and any other person pursuant to whom such person is to be selected as a director or nominee for election as a director.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OUR BOARD UNANIMOUSLY RECOMMENDS A VOTE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THE ELECTION OF EACH OF THE EIGHT DIRECTOR NOMINEES.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224" w:lineRule="exact"/>
        <w:rPr>
          <w:sz w:val="20"/>
          <w:szCs w:val="20"/>
          <w:color w:val="auto"/>
        </w:rPr>
      </w:pPr>
    </w:p>
    <w:p>
      <w:pPr>
        <w:ind w:firstLine="427"/>
        <w:spacing w:after="0" w:line="257" w:lineRule="auto"/>
        <w:rPr>
          <w:sz w:val="20"/>
          <w:szCs w:val="20"/>
          <w:color w:val="auto"/>
        </w:rPr>
      </w:pPr>
      <w:r>
        <w:rPr>
          <w:rFonts w:ascii="Times New Roman" w:cs="Times New Roman" w:eastAsia="Times New Roman" w:hAnsi="Times New Roman"/>
          <w:sz w:val="18"/>
          <w:szCs w:val="18"/>
          <w:color w:val="auto"/>
        </w:rPr>
        <w:t>Our Board has determined that seven of our eight directors are independent, and that each of the members of our Audit Committee, Compensation Committee, Nominating and Corporate Governance Committee and Research and Development Committee is independent. In making these determinations, our Board has made a subjective determination as to each independent director that no relationships exist, which, in the opinion of our Board, would interfere with the exercise of independent judgment in carrying out the responsibilities of a director.</w:t>
      </w:r>
    </w:p>
    <w:p>
      <w:pPr>
        <w:spacing w:after="0" w:line="181" w:lineRule="exact"/>
        <w:rPr>
          <w:sz w:val="20"/>
          <w:szCs w:val="20"/>
          <w:color w:val="auto"/>
        </w:rPr>
      </w:pPr>
    </w:p>
    <w:p>
      <w:pPr>
        <w:ind w:firstLine="427"/>
        <w:spacing w:after="0" w:line="254" w:lineRule="auto"/>
        <w:rPr>
          <w:sz w:val="20"/>
          <w:szCs w:val="20"/>
          <w:color w:val="auto"/>
        </w:rPr>
      </w:pPr>
      <w:r>
        <w:rPr>
          <w:rFonts w:ascii="Times New Roman" w:cs="Times New Roman" w:eastAsia="Times New Roman" w:hAnsi="Times New Roman"/>
          <w:sz w:val="18"/>
          <w:szCs w:val="18"/>
          <w:color w:val="auto"/>
        </w:rPr>
        <w:t xml:space="preserve">On an annual basis, our Board undertakes a review of its composition, the composition of its committees and the independence of each director. For the purpose of its independence determinations, the Board employs the standards for independence set forth in the listing requirements and rules of The NASDAQ Stock Market LLC (“NASDAQ”), in the rules and standards established by the U.S. Securities and Exchange Commission (the “SEC”) and in our corporate governance guidelines. Our corporate governance guidelines are available on our corporate website at </w:t>
      </w:r>
      <w:r>
        <w:rPr>
          <w:rFonts w:ascii="Times New Roman" w:cs="Times New Roman" w:eastAsia="Times New Roman" w:hAnsi="Times New Roman"/>
          <w:sz w:val="18"/>
          <w:szCs w:val="18"/>
          <w:i w:val="1"/>
          <w:iCs w:val="1"/>
          <w:color w:val="auto"/>
        </w:rPr>
        <w:t>https://www.pumabiotechnology.com/about/cg.html</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140" w:firstLine="427"/>
        <w:spacing w:after="0" w:line="269" w:lineRule="auto"/>
        <w:rPr>
          <w:sz w:val="20"/>
          <w:szCs w:val="20"/>
          <w:color w:val="auto"/>
        </w:rPr>
      </w:pPr>
      <w:r>
        <w:rPr>
          <w:rFonts w:ascii="Times New Roman" w:cs="Times New Roman" w:eastAsia="Times New Roman" w:hAnsi="Times New Roman"/>
          <w:sz w:val="17"/>
          <w:szCs w:val="17"/>
          <w:color w:val="auto"/>
        </w:rPr>
        <w:t>Based upon information requested from and provided by each of our directors concerning his or her background, employment and affiliations, including family relationships, and on such other due consideration and diligence as it deems appropriate, our Board has determined that Messrs. Miller, Moyes, and Stuglik, Ms. Dorval and Drs. Cesano, Senderowicz and Wilson, or seven of our eight current directors, are “independent” under the applicable rules and standards established by NASDAQ and the SEC, as well as under the additional standards set forth in our corporate governance guidelines. In making this determination, our Board considered the current and prior relationships that each non-employee director has with us and all other facts and circumstances our Board deemed relevant in determining their independence, including the beneficial ownership of our capital stock by each non-employee director. Our Board has determined that Mr. Auerbach is not independent due to his role as our President and Chief Executive Officer.</w:t>
      </w:r>
    </w:p>
    <w:p>
      <w:pPr>
        <w:sectPr>
          <w:pgSz w:w="11900" w:h="16838" w:orient="portrait"/>
          <w:cols w:equalWidth="0" w:num="1">
            <w:col w:w="11220"/>
          </w:cols>
          <w:pgMar w:left="320" w:top="121" w:right="359" w:bottom="1024"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024"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Role in Risk Oversight</w:t>
      </w:r>
    </w:p>
    <w:p>
      <w:pPr>
        <w:spacing w:after="0" w:line="224" w:lineRule="exact"/>
        <w:rPr>
          <w:sz w:val="20"/>
          <w:szCs w:val="20"/>
          <w:color w:val="auto"/>
        </w:rPr>
      </w:pPr>
    </w:p>
    <w:p>
      <w:pPr>
        <w:jc w:val="both"/>
        <w:ind w:right="140" w:firstLine="427"/>
        <w:spacing w:after="0" w:line="254" w:lineRule="auto"/>
        <w:rPr>
          <w:sz w:val="20"/>
          <w:szCs w:val="20"/>
          <w:color w:val="auto"/>
        </w:rPr>
      </w:pPr>
      <w:r>
        <w:rPr>
          <w:rFonts w:ascii="Times New Roman" w:cs="Times New Roman" w:eastAsia="Times New Roman" w:hAnsi="Times New Roman"/>
          <w:sz w:val="18"/>
          <w:szCs w:val="18"/>
          <w:color w:val="auto"/>
        </w:rPr>
        <w:t>Our Board is involved in the general oversight of risks that could affect our business. Our Board satisfies this responsibility through reports by each committee chair regarding the committee’s considerations and actions, as well as through regular reports directly from officers responsible for oversight of particular risks within the Company. Further, our Board oversees risks through the establishment of policies and procedures that are designed to guide daily operations in a manner consistent with applicable laws, regulations and risks acceptable to our Company. The role of the Board’s committees in overseeing many of the risks associated with our business includes the following:</w:t>
      </w:r>
    </w:p>
    <w:p>
      <w:pPr>
        <w:spacing w:after="0" w:line="239" w:lineRule="exact"/>
        <w:rPr>
          <w:sz w:val="20"/>
          <w:szCs w:val="20"/>
          <w:color w:val="auto"/>
        </w:rPr>
      </w:pPr>
    </w:p>
    <w:p>
      <w:pPr>
        <w:ind w:left="460" w:right="80" w:hanging="144"/>
        <w:spacing w:after="0" w:line="26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oversees and reviews with management our assessment and management process of material financial reporting and accounting risks, including review of internal controls over financial reporting, policies, practices and risks related to cybersecurity and disclosure controls and procedures, as well as reviews and approves any related party transactions.</w:t>
      </w:r>
    </w:p>
    <w:p>
      <w:pPr>
        <w:spacing w:after="0" w:line="69" w:lineRule="exact"/>
        <w:rPr>
          <w:rFonts w:ascii="Times New Roman" w:cs="Times New Roman" w:eastAsia="Times New Roman" w:hAnsi="Times New Roman"/>
          <w:sz w:val="18"/>
          <w:szCs w:val="18"/>
          <w:color w:val="auto"/>
        </w:rPr>
      </w:pPr>
    </w:p>
    <w:p>
      <w:pPr>
        <w:ind w:left="460" w:right="240" w:hanging="144"/>
        <w:spacing w:after="0" w:line="277"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oversees and assesses whether any of our compensation plans, policies, and programs are reasonably likely to have a material adverse effect on us.</w:t>
      </w:r>
    </w:p>
    <w:p>
      <w:pPr>
        <w:spacing w:after="0" w:line="55" w:lineRule="exact"/>
        <w:rPr>
          <w:rFonts w:ascii="Times New Roman" w:cs="Times New Roman" w:eastAsia="Times New Roman" w:hAnsi="Times New Roman"/>
          <w:sz w:val="18"/>
          <w:szCs w:val="18"/>
          <w:color w:val="auto"/>
        </w:rPr>
      </w:pPr>
    </w:p>
    <w:p>
      <w:pPr>
        <w:ind w:left="460" w:right="580" w:hanging="144"/>
        <w:spacing w:after="0" w:line="277"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Corporate Governance Committee oversees and reviews with management risks relating to governance matters, including succession planning, as well as business ethics and compliance, quality assurance, access to medicines and patient safety.</w:t>
      </w:r>
    </w:p>
    <w:p>
      <w:pPr>
        <w:spacing w:after="0" w:line="55" w:lineRule="exact"/>
        <w:rPr>
          <w:rFonts w:ascii="Times New Roman" w:cs="Times New Roman" w:eastAsia="Times New Roman" w:hAnsi="Times New Roman"/>
          <w:sz w:val="18"/>
          <w:szCs w:val="18"/>
          <w:color w:val="auto"/>
        </w:rPr>
      </w:pPr>
    </w:p>
    <w:p>
      <w:pPr>
        <w:ind w:left="460" w:right="520" w:hanging="144"/>
        <w:spacing w:after="0" w:line="277"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and Development Committee oversees and reviews with management evaluation of our product pipeline and pre-trial and clinical development risks.</w:t>
      </w:r>
    </w:p>
    <w:p>
      <w:pPr>
        <w:spacing w:after="0" w:line="216" w:lineRule="exact"/>
        <w:rPr>
          <w:sz w:val="20"/>
          <w:szCs w:val="20"/>
          <w:color w:val="auto"/>
        </w:rPr>
      </w:pPr>
    </w:p>
    <w:p>
      <w:pPr>
        <w:ind w:right="120" w:firstLine="427"/>
        <w:spacing w:after="0" w:line="262" w:lineRule="auto"/>
        <w:rPr>
          <w:sz w:val="20"/>
          <w:szCs w:val="20"/>
          <w:color w:val="auto"/>
        </w:rPr>
      </w:pPr>
      <w:r>
        <w:rPr>
          <w:rFonts w:ascii="Times New Roman" w:cs="Times New Roman" w:eastAsia="Times New Roman" w:hAnsi="Times New Roman"/>
          <w:sz w:val="18"/>
          <w:szCs w:val="18"/>
          <w:color w:val="auto"/>
        </w:rPr>
        <w:t>The Board’s 2025 review, including the Research and Development Committee, included an assessment of the risks related to effects of the closure of clinical trials of NERLYNX with respect to our commercialization of NERLYNX. The Research and Development Committee also assessed the clinical development risks associated with our acquisition of worldwide research and development rights, and commercial, rights to alisertib.</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4" w:lineRule="exact"/>
        <w:rPr>
          <w:sz w:val="20"/>
          <w:szCs w:val="20"/>
          <w:color w:val="auto"/>
        </w:rPr>
      </w:pPr>
    </w:p>
    <w:p>
      <w:pPr>
        <w:ind w:right="20" w:firstLine="427"/>
        <w:spacing w:after="0" w:line="251" w:lineRule="auto"/>
        <w:rPr>
          <w:sz w:val="20"/>
          <w:szCs w:val="20"/>
          <w:color w:val="auto"/>
        </w:rPr>
      </w:pPr>
      <w:r>
        <w:rPr>
          <w:rFonts w:ascii="Times New Roman" w:cs="Times New Roman" w:eastAsia="Times New Roman" w:hAnsi="Times New Roman"/>
          <w:sz w:val="18"/>
          <w:szCs w:val="18"/>
          <w:color w:val="auto"/>
        </w:rPr>
        <w:t>Alan H. Auerbach currently serves as our Chairman and Chief Executive Officer. We have no policy requiring the combination or separation of the Chief Executive Officer and Chairman roles and our governing documents do not mandate a particular structure. At present, we have determined that this leadership structure of having a combined Chairman of the Board and Chief Executive Officer is appropriate due to the size and operations and resources of our Company. Our Board believes that having these roles combined helps promote efficient and centralized decision-making, focuses the Board’s discussions and facilitates the presentation of the Company’s strategy with a unified voice. Our Board also believes in the value and importance of a strong Lead Independent Director with clearly delineated responsibilities, including to preside over Board meetings at which the Chief Executive Officer and Chairman is not present (including any executive sessions of the independent directors), approve Board meeting schedules and agendas and act as liaison between the independent directors and the Chief Executive Officer and Chairman. Mr. Moyes serves as the Lead Independent Director.</w:t>
      </w:r>
    </w:p>
    <w:p>
      <w:pPr>
        <w:spacing w:after="0" w:line="190" w:lineRule="exact"/>
        <w:rPr>
          <w:sz w:val="20"/>
          <w:szCs w:val="20"/>
          <w:color w:val="auto"/>
        </w:rPr>
      </w:pPr>
    </w:p>
    <w:p>
      <w:pPr>
        <w:ind w:right="120" w:firstLine="427"/>
        <w:spacing w:after="0" w:line="307" w:lineRule="auto"/>
        <w:rPr>
          <w:sz w:val="20"/>
          <w:szCs w:val="20"/>
          <w:color w:val="auto"/>
        </w:rPr>
      </w:pPr>
      <w:r>
        <w:rPr>
          <w:rFonts w:ascii="Times New Roman" w:cs="Times New Roman" w:eastAsia="Times New Roman" w:hAnsi="Times New Roman"/>
          <w:sz w:val="17"/>
          <w:szCs w:val="17"/>
          <w:color w:val="auto"/>
        </w:rPr>
        <w:t>Our Board acknowledges that no single leadership model is right for all companies at all times. As such, our Board periodically reviews its leadership structure and may, depending on the circumstances, including our size, resources and operations, choose a different leadership structure in the future.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and Attendance</w:t>
      </w:r>
    </w:p>
    <w:p>
      <w:pPr>
        <w:spacing w:after="0" w:line="224" w:lineRule="exact"/>
        <w:rPr>
          <w:sz w:val="20"/>
          <w:szCs w:val="20"/>
          <w:color w:val="auto"/>
        </w:rPr>
      </w:pPr>
    </w:p>
    <w:p>
      <w:pPr>
        <w:ind w:firstLine="427"/>
        <w:spacing w:after="0" w:line="257" w:lineRule="auto"/>
        <w:rPr>
          <w:sz w:val="20"/>
          <w:szCs w:val="20"/>
          <w:color w:val="auto"/>
        </w:rPr>
      </w:pPr>
      <w:r>
        <w:rPr>
          <w:rFonts w:ascii="Times New Roman" w:cs="Times New Roman" w:eastAsia="Times New Roman" w:hAnsi="Times New Roman"/>
          <w:sz w:val="18"/>
          <w:szCs w:val="18"/>
          <w:color w:val="auto"/>
        </w:rPr>
        <w:t>During the fiscal year ended December 31, 2025, our Board held four meetings. All directors attended at least 75% or more of the aggregate number of meetings of the Board and board committees on which they served. Our Board and committees also act by unanimous written consent from time to time. As part of our director education program, each director is strongly encouraged to attend each annual meeting of stockholders in person. Each of the then-current directors attended our 2025 annual meeting of stockholders either in-person or by telephone.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Sessions</w:t>
      </w:r>
    </w:p>
    <w:p>
      <w:pPr>
        <w:spacing w:after="0" w:line="224" w:lineRule="exact"/>
        <w:rPr>
          <w:sz w:val="20"/>
          <w:szCs w:val="20"/>
          <w:color w:val="auto"/>
        </w:rPr>
      </w:pPr>
    </w:p>
    <w:p>
      <w:pPr>
        <w:ind w:left="140" w:firstLine="427"/>
        <w:spacing w:after="0" w:line="254" w:lineRule="auto"/>
        <w:rPr>
          <w:sz w:val="20"/>
          <w:szCs w:val="20"/>
          <w:color w:val="auto"/>
        </w:rPr>
      </w:pPr>
      <w:r>
        <w:rPr>
          <w:rFonts w:ascii="Times New Roman" w:cs="Times New Roman" w:eastAsia="Times New Roman" w:hAnsi="Times New Roman"/>
          <w:sz w:val="18"/>
          <w:szCs w:val="18"/>
          <w:color w:val="auto"/>
        </w:rPr>
        <w:t>During the fiscal year ended December 31, 2025, the non-employee directors met in executive session of the Board on four occasions, the members of the Audit Committee met in executive session on four occasions, the members of the Compensation Committee met in executive session on five occasions, and the members of the Nominating and Corporate Governance Committee met in executive session on one occasion. The policy of our Board is to hold executive sessions in connection with each regularly scheduled Board meeting and executive sessions of committees when needed. As our Lead Independent Director, Mr. Moyes presided over the executive sessions of the Board.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4" w:lineRule="exact"/>
        <w:rPr>
          <w:sz w:val="20"/>
          <w:szCs w:val="20"/>
          <w:color w:val="auto"/>
        </w:rPr>
      </w:pPr>
    </w:p>
    <w:p>
      <w:pPr>
        <w:ind w:firstLine="427"/>
        <w:spacing w:after="0" w:line="253" w:lineRule="auto"/>
        <w:rPr>
          <w:sz w:val="20"/>
          <w:szCs w:val="20"/>
          <w:color w:val="auto"/>
        </w:rPr>
      </w:pPr>
      <w:r>
        <w:rPr>
          <w:rFonts w:ascii="Times New Roman" w:cs="Times New Roman" w:eastAsia="Times New Roman" w:hAnsi="Times New Roman"/>
          <w:sz w:val="18"/>
          <w:szCs w:val="18"/>
          <w:color w:val="auto"/>
        </w:rPr>
        <w:t xml:space="preserve">We have established an Audit Committee, a Compensation Committee, a Nominating and Corporate Governance Committee, an Equity Incentive Committee and a Research and Development Committee. The composition and responsibilities of each committee are determined by the Board and are described below. To view the charters of the Audit Committee, Compensation Committee, Nominating and Corporate Governance Committee and Research and Development Committee, please visit the corporate governance section of our website at </w:t>
      </w:r>
      <w:r>
        <w:rPr>
          <w:rFonts w:ascii="Times New Roman" w:cs="Times New Roman" w:eastAsia="Times New Roman" w:hAnsi="Times New Roman"/>
          <w:sz w:val="18"/>
          <w:szCs w:val="18"/>
          <w:i w:val="1"/>
          <w:iCs w:val="1"/>
          <w:color w:val="auto"/>
        </w:rPr>
        <w:t>https://www.pumabiotechnology.com/about/cg.html</w:t>
      </w:r>
      <w:r>
        <w:rPr>
          <w:rFonts w:ascii="Times New Roman" w:cs="Times New Roman" w:eastAsia="Times New Roman" w:hAnsi="Times New Roman"/>
          <w:sz w:val="18"/>
          <w:szCs w:val="18"/>
          <w:color w:val="auto"/>
        </w:rPr>
        <w:t>. In addition, the charters for these committees are available in print to any stockholder who requests a copy. Please direct all requests to our Corporate Secretary, Puma Biotechnology, Inc., 10880 Wilshire Boulevard, Suite 1700, Los Angeles, CA 90024.</w:t>
      </w:r>
    </w:p>
    <w:p>
      <w:pPr>
        <w:sectPr>
          <w:pgSz w:w="11900" w:h="16838" w:orient="portrait"/>
          <w:cols w:equalWidth="0" w:num="1">
            <w:col w:w="11220"/>
          </w:cols>
          <w:pgMar w:left="320" w:top="121" w:right="35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4" w:lineRule="exact"/>
        <w:rPr>
          <w:sz w:val="20"/>
          <w:szCs w:val="20"/>
          <w:color w:val="auto"/>
        </w:rPr>
      </w:pPr>
    </w:p>
    <w:p>
      <w:pPr>
        <w:ind w:right="20" w:firstLine="427"/>
        <w:spacing w:after="0" w:line="249" w:lineRule="auto"/>
        <w:rPr>
          <w:sz w:val="20"/>
          <w:szCs w:val="20"/>
          <w:color w:val="auto"/>
        </w:rPr>
      </w:pPr>
      <w:r>
        <w:rPr>
          <w:rFonts w:ascii="Times New Roman" w:cs="Times New Roman" w:eastAsia="Times New Roman" w:hAnsi="Times New Roman"/>
          <w:sz w:val="18"/>
          <w:szCs w:val="18"/>
          <w:color w:val="auto"/>
        </w:rPr>
        <w:t>Our Audit Committee provides oversight over each of our accounting and financial reporting processes, our internal control function, the audits of our consolidated financial statements and internal control over financial reporting. Among other matters, the Audit Committee assists our Board in oversight of the independent registered public accounting firm qualifications, independence and performance; is responsible for the engagement, retention and compensation of the independent auditors; reviews the scope of the annual audit; reviews and discusses with management and the independent registered public accounting firm the results of the annual audit and the review of our quarterly consolidated financial statements, including the disclosures in our annual and quarterly reports filed with the SEC; reviews our risk assessment and risk management processes; establishes procedures for receiving, retaining and investigating complaints received by us regarding accounting, internal accounting controls or audit matters; approves audit and permissible non-audit services provided by our independent registered public accounting firm; and reviews and approves related party transactions under Item 404 of Regulation S-K, our Related Party Transaction Policy and Procedures and NASDAQ rules.</w:t>
      </w:r>
    </w:p>
    <w:p>
      <w:pPr>
        <w:spacing w:after="0" w:line="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p>
      <w:pPr>
        <w:jc w:val="both"/>
        <w:ind w:right="220" w:firstLine="427"/>
        <w:spacing w:after="0" w:line="262" w:lineRule="auto"/>
        <w:rPr>
          <w:sz w:val="20"/>
          <w:szCs w:val="20"/>
          <w:color w:val="auto"/>
        </w:rPr>
      </w:pPr>
      <w:r>
        <w:rPr>
          <w:rFonts w:ascii="Times New Roman" w:cs="Times New Roman" w:eastAsia="Times New Roman" w:hAnsi="Times New Roman"/>
          <w:sz w:val="17"/>
          <w:szCs w:val="17"/>
          <w:color w:val="auto"/>
        </w:rPr>
        <w:t>The members of our Audit Committee are Mr. Moyes, Ms. Dorval and Dr. Wilson with Mr. Moyes serving as the chair of the committee. The Board has determined that Mr. Moyes, Ms. Dorval and Dr. Wilson are independent directors as defined under the applicable rules and regulations of the SEC and NASDAQ and the requirements in the Audit Committee’s charter and our corporate governance guidelines. The Board has determined that all members of our Audit Committee meet the requirements for service as an audit committee member under the applicable rules of NASDAQ, and that Mr. Moyes, Ms.</w:t>
      </w:r>
    </w:p>
    <w:p>
      <w:pPr>
        <w:ind w:right="40"/>
        <w:spacing w:after="0" w:line="255" w:lineRule="auto"/>
        <w:rPr>
          <w:sz w:val="20"/>
          <w:szCs w:val="20"/>
          <w:color w:val="auto"/>
        </w:rPr>
      </w:pPr>
      <w:r>
        <w:rPr>
          <w:rFonts w:ascii="Times New Roman" w:cs="Times New Roman" w:eastAsia="Times New Roman" w:hAnsi="Times New Roman"/>
          <w:sz w:val="18"/>
          <w:szCs w:val="18"/>
          <w:color w:val="auto"/>
        </w:rPr>
        <w:t>Dorval and Dr. Wilson are audit committee financial experts as defined under the applicable rules of the SEC. The Audit Committee met six times during the fiscal year ended December 31, 2025.</w:t>
      </w:r>
    </w:p>
    <w:p>
      <w:pPr>
        <w:spacing w:after="0" w:line="182" w:lineRule="exact"/>
        <w:rPr>
          <w:sz w:val="20"/>
          <w:szCs w:val="20"/>
          <w:color w:val="auto"/>
        </w:rPr>
      </w:pPr>
    </w:p>
    <w:p>
      <w:pPr>
        <w:ind w:right="20" w:firstLine="427"/>
        <w:spacing w:after="0" w:line="257"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oversight of cybersecurity and other information technology risks. The Audit Committee oversees management’s implementation of our cybersecurity risk management program. The Audit Committee receives periodic reports from management on our cybersecurity risks. In addition, management updates the Audit Committee, as necessary, regarding any material cybersecurity incidents, as well as any incidents with lesser impact potential.</w:t>
      </w:r>
    </w:p>
    <w:p>
      <w:pPr>
        <w:spacing w:after="0" w:line="181" w:lineRule="exact"/>
        <w:rPr>
          <w:sz w:val="20"/>
          <w:szCs w:val="20"/>
          <w:color w:val="auto"/>
        </w:rPr>
      </w:pPr>
    </w:p>
    <w:p>
      <w:pPr>
        <w:ind w:firstLine="427"/>
        <w:spacing w:after="0" w:line="252" w:lineRule="auto"/>
        <w:rPr>
          <w:sz w:val="20"/>
          <w:szCs w:val="20"/>
          <w:color w:val="auto"/>
        </w:rPr>
      </w:pPr>
      <w:r>
        <w:rPr>
          <w:rFonts w:ascii="Times New Roman" w:cs="Times New Roman" w:eastAsia="Times New Roman" w:hAnsi="Times New Roman"/>
          <w:sz w:val="18"/>
          <w:szCs w:val="18"/>
          <w:color w:val="auto"/>
        </w:rPr>
        <w:t>The Audit Committee reports to the Board regarding its activities, including those related to cybersecurity. The Board also receives briefings from management on our cyber risk management program. Members of the Board receive presentations on cybersecurity topics from internal security staff or external experts as part of the Board’s continuing education on topics that impact public companies. Our management team, including our Chief Financial Officer, Senior Director of Information Technology and Senior Vice President, Quality Assurance, is responsible for assessing and managing our material risks from cybersecurity threats. The team has primary responsibility for our overall cybersecurity risk management program and supervises both our internal technology and quality assurance compliance personnel and our retained external cybersecurity consultants. Our management team has experience in risk management as well as in the technology and finance industries, equipping them to oversee cybersecurity risks effectively.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4" w:lineRule="exact"/>
        <w:rPr>
          <w:sz w:val="20"/>
          <w:szCs w:val="20"/>
          <w:color w:val="auto"/>
        </w:rPr>
      </w:pPr>
    </w:p>
    <w:p>
      <w:pPr>
        <w:ind w:right="100" w:firstLine="427"/>
        <w:spacing w:after="0" w:line="266" w:lineRule="auto"/>
        <w:rPr>
          <w:sz w:val="20"/>
          <w:szCs w:val="20"/>
          <w:color w:val="auto"/>
        </w:rPr>
      </w:pPr>
      <w:r>
        <w:rPr>
          <w:rFonts w:ascii="Times New Roman" w:cs="Times New Roman" w:eastAsia="Times New Roman" w:hAnsi="Times New Roman"/>
          <w:sz w:val="17"/>
          <w:szCs w:val="17"/>
          <w:color w:val="auto"/>
        </w:rPr>
        <w:t>The Compensation Committee adopts and administers the compensation policies, plans and benefit programs for our executive officers. In addition, among other things, the Compensation Committee evaluates the performance and compensation of our Chief Executive Officer. Based on such evaluation, the Compensation Committee determines and approves all of the compensation of the Chief Executive Officer. The Chief Executive Officer is not permitted to be present during any Compensation Committee final deliberations or voting concerning the compensation of the Chief Executive Officer. The Compensation Committee also reviews an evaluation of the executive officers who have been designated by the Board as Section 16 officers as provided in Rule 16b-1(f) of the Exchange Act (“Section 16 Officers”), other than the Chief Executive Officer, and such other persons deemed advisable by the Committee, and reviews, sets or recommends to the Board the compensation of such Section 16 Officers and other persons. The Compensation Committee also administers the Puma Biotechnology, Inc. 2011 Incentive Award Plan (the “2011 Plan”) and the Puma Biotechnology, Inc. 2017 Employment Inducement Incentive Award Plan (the “Inducement Plan” and, together with the 2011 Plan, the “Plans”). The Compensation Committee administers and oversees compliance with the Company’s clawback policy. Additionally, the Compensation Committee periodically reviews and makes recommendations to our Board regarding succession planning for management, designations of Section 16 Officers and the compensation of our non-employee directors.</w:t>
      </w:r>
    </w:p>
    <w:p>
      <w:pPr>
        <w:spacing w:after="0" w:line="179" w:lineRule="exact"/>
        <w:rPr>
          <w:sz w:val="20"/>
          <w:szCs w:val="20"/>
          <w:color w:val="auto"/>
        </w:rPr>
      </w:pPr>
    </w:p>
    <w:p>
      <w:pPr>
        <w:ind w:right="80" w:firstLine="427"/>
        <w:spacing w:after="0" w:line="277" w:lineRule="auto"/>
        <w:rPr>
          <w:sz w:val="20"/>
          <w:szCs w:val="20"/>
          <w:color w:val="auto"/>
        </w:rPr>
      </w:pPr>
      <w:r>
        <w:rPr>
          <w:rFonts w:ascii="Times New Roman" w:cs="Times New Roman" w:eastAsia="Times New Roman" w:hAnsi="Times New Roman"/>
          <w:sz w:val="18"/>
          <w:szCs w:val="18"/>
          <w:color w:val="auto"/>
        </w:rPr>
        <w:t>The Compensation Committee is permitted to delegate any or all of its responsibilities to a subcommittee of the Compensation Committee, but only to the extent consistent with our Certificate of Incorporation, Bylaws, the rules and listing standards of NASDAQ, and other applicable law.</w:t>
      </w:r>
    </w:p>
    <w:p>
      <w:pPr>
        <w:spacing w:after="0" w:line="163" w:lineRule="exact"/>
        <w:rPr>
          <w:sz w:val="20"/>
          <w:szCs w:val="20"/>
          <w:color w:val="auto"/>
        </w:rPr>
      </w:pPr>
    </w:p>
    <w:p>
      <w:pPr>
        <w:ind w:right="60" w:firstLine="427"/>
        <w:spacing w:after="0" w:line="253" w:lineRule="auto"/>
        <w:rPr>
          <w:sz w:val="20"/>
          <w:szCs w:val="20"/>
          <w:color w:val="auto"/>
        </w:rPr>
      </w:pPr>
      <w:r>
        <w:rPr>
          <w:rFonts w:ascii="Times New Roman" w:cs="Times New Roman" w:eastAsia="Times New Roman" w:hAnsi="Times New Roman"/>
          <w:sz w:val="18"/>
          <w:szCs w:val="18"/>
          <w:color w:val="auto"/>
        </w:rPr>
        <w:t>The Compensation Committee has the sole discretion to retain or obtain the advice of compensation advisors, including compensation consultants, legal counsel or other advisors in order to assist the Compensation Committee or any of its subcommittees in carrying out its responsibilities. The Compensation Committee is also responsible for the appointment, determination of the compensation and oversight of the work of so retained compensation advisors and the determination of the independence of each compensation advisor prior to selecting or receiving advice from any such compensation advisor and on at least an annual basis thereafter. The Company provides for appropriate funding for payment or reasonable compensation to any compensation advisor to the Compensation Committee.</w:t>
      </w:r>
    </w:p>
    <w:p>
      <w:pPr>
        <w:spacing w:after="0" w:line="185" w:lineRule="exact"/>
        <w:rPr>
          <w:sz w:val="20"/>
          <w:szCs w:val="20"/>
          <w:color w:val="auto"/>
        </w:rPr>
      </w:pPr>
    </w:p>
    <w:p>
      <w:pPr>
        <w:ind w:firstLine="427"/>
        <w:spacing w:after="0" w:line="252" w:lineRule="auto"/>
        <w:rPr>
          <w:sz w:val="20"/>
          <w:szCs w:val="20"/>
          <w:color w:val="auto"/>
        </w:rPr>
      </w:pPr>
      <w:r>
        <w:rPr>
          <w:rFonts w:ascii="Times New Roman" w:cs="Times New Roman" w:eastAsia="Times New Roman" w:hAnsi="Times New Roman"/>
          <w:sz w:val="18"/>
          <w:szCs w:val="18"/>
          <w:color w:val="auto"/>
        </w:rPr>
        <w:t>In 2025, the Compensation Committee continued to engage Compensia, Inc. (“Compensia”), an independent compensation consultant, to advise the Compensation Committee. In December 2024, the Compensation Committee obtained a new detailed compensation analysis which served as the basis for the Compensation Committee’s compensation-related decisions for 2025. Compensia reported directly to the Compensation Committee and attended Compensation Committee meetings in 2025 following invitations. In 2025, Compensia provided the Compensation Committee with a report regarding non-employee director compensation and competitive practices. The Compensation Committee determines when to hire, terminate or replace compensation consultants, the projects to be performed by any consultant and whether the consultant is invited to attend meetings of the Compensation Committee. The Compensation Committee may engage Compensia to conduct additional comprehensive reviews of our compensation programs in the future.</w:t>
      </w:r>
    </w:p>
    <w:p>
      <w:pPr>
        <w:sectPr>
          <w:pgSz w:w="11900" w:h="16838" w:orient="portrait"/>
          <w:cols w:equalWidth="0" w:num="1">
            <w:col w:w="11220"/>
          </w:cols>
          <w:pgMar w:left="320" w:top="121" w:right="35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right="60" w:firstLine="427"/>
        <w:spacing w:after="0" w:line="253" w:lineRule="auto"/>
        <w:rPr>
          <w:sz w:val="20"/>
          <w:szCs w:val="20"/>
          <w:color w:val="auto"/>
        </w:rPr>
      </w:pPr>
      <w:r>
        <w:rPr>
          <w:rFonts w:ascii="Times New Roman" w:cs="Times New Roman" w:eastAsia="Times New Roman" w:hAnsi="Times New Roman"/>
          <w:sz w:val="18"/>
          <w:szCs w:val="18"/>
          <w:color w:val="auto"/>
        </w:rPr>
        <w:t>The Compensation Committee reviews the independence of its compensation consultants and other advisors. In performing its analysis, the Compensation Committee considers the factors set forth in applicable SEC rules and NASDAQ listing requirements and the requirements in the Compensation Committee’s charter and our corporate governance guidelines. After review and consultation with Compensia, the Compensation Committee has determined that Compensia is independent and there is no conflict of interest from retaining Compensia currently or during the year ended December 31, 2025. In reaching these conclusions, the Compensation Committee considered the factors set forth in the Securities Exchange Act of 1934, as amended (the “Exchange Act”) Rule 10C-1 and NASDAQ listing standards.</w:t>
      </w:r>
    </w:p>
    <w:p>
      <w:pPr>
        <w:spacing w:after="0" w:line="185" w:lineRule="exact"/>
        <w:rPr>
          <w:sz w:val="20"/>
          <w:szCs w:val="20"/>
          <w:color w:val="auto"/>
        </w:rPr>
      </w:pPr>
    </w:p>
    <w:p>
      <w:pPr>
        <w:ind w:right="60" w:firstLine="427"/>
        <w:spacing w:after="0" w:line="253" w:lineRule="auto"/>
        <w:rPr>
          <w:sz w:val="20"/>
          <w:szCs w:val="20"/>
          <w:color w:val="auto"/>
        </w:rPr>
      </w:pPr>
      <w:r>
        <w:rPr>
          <w:rFonts w:ascii="Times New Roman" w:cs="Times New Roman" w:eastAsia="Times New Roman" w:hAnsi="Times New Roman"/>
          <w:sz w:val="18"/>
          <w:szCs w:val="18"/>
          <w:color w:val="auto"/>
        </w:rPr>
        <w:t>The members of the Compensation Committee are Messrs. Miller, Moyes and Stuglik with Mr. Stuglik serving as chair of the committee. The Board has determined that each of the members of the Compensation Committee is independent under the applicable rules and listing standards of NASDAQ and is independent under the requirements in the Compensation Committee’s charter and our corporate governance guidelines and are non-employee directors for purposes of Section 16 of the Exchange Act. The Compensation Committee met seven times during the fiscal year ended December 31, 2025. Additionally, matters delegated to the Compensation Committee were discussed during meetings of the Board, including in executive session with only independent members of the Board present.</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4" w:lineRule="exact"/>
        <w:rPr>
          <w:sz w:val="20"/>
          <w:szCs w:val="20"/>
          <w:color w:val="auto"/>
        </w:rPr>
      </w:pPr>
    </w:p>
    <w:p>
      <w:pPr>
        <w:ind w:right="120" w:firstLine="427"/>
        <w:spacing w:after="0" w:line="251"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among other things, making recommendations regarding corporate governance, the composition of our Board, identification, evaluation and nomination of director candidates and the structure and composition of committees of our Board. In addition, our Nominating and Corporate Governance Committee oversees our corporate governance guidelines, makes recommendations regarding our committee charters, oversees compliance with our code of business conduct and ethics, contributes to succession planning, reviews actual and potential conflicts of interest of our directors and officers other than related party transactions reviewed by the Audit Committee and oversees the self-evaluation process of our Board. Our Nominating and Corporate Governance Committee also is responsible for making recommendations regarding non-employee director compensation to the Board and oversees and reviews with management risks relating to governance, business ethics and compliance, access to medicines and patient safety matters.</w:t>
      </w:r>
    </w:p>
    <w:p>
      <w:pPr>
        <w:spacing w:after="0" w:line="190" w:lineRule="exact"/>
        <w:rPr>
          <w:sz w:val="20"/>
          <w:szCs w:val="20"/>
          <w:color w:val="auto"/>
        </w:rPr>
      </w:pPr>
    </w:p>
    <w:p>
      <w:pPr>
        <w:ind w:firstLine="427"/>
        <w:spacing w:after="0" w:line="271" w:lineRule="auto"/>
        <w:rPr>
          <w:sz w:val="20"/>
          <w:szCs w:val="20"/>
          <w:color w:val="auto"/>
        </w:rPr>
      </w:pPr>
      <w:r>
        <w:rPr>
          <w:rFonts w:ascii="Times New Roman" w:cs="Times New Roman" w:eastAsia="Times New Roman" w:hAnsi="Times New Roman"/>
          <w:sz w:val="17"/>
          <w:szCs w:val="17"/>
          <w:color w:val="auto"/>
        </w:rPr>
        <w:t>The process followed by our Nominating and Corporate Governance Committee to identify and evaluate director candidates includes meeting from time to time to evaluate biographical information and background material relating to potential candidates and, as deemed advisable, interviews of selected candidates by our Chief Executive Officer, members of the Nominating and Corporate Governance Committee or other members of the Board. It is the policy of the Nominating and Corporate Governance Committee that when it establishes an initial list of potential candidates for consideration as a new candidate to the Board, the committee shall include in such list, but shall not be limited to, one or more qualified women and minority candidates. The Nominating and Corporate Governance Committee may seek the assistance of an outside search firm in identifying and evaluating potential candidates from time to time.</w:t>
      </w:r>
    </w:p>
    <w:p>
      <w:pPr>
        <w:spacing w:after="0" w:line="170" w:lineRule="exact"/>
        <w:rPr>
          <w:sz w:val="20"/>
          <w:szCs w:val="20"/>
          <w:color w:val="auto"/>
        </w:rPr>
      </w:pPr>
    </w:p>
    <w:p>
      <w:pPr>
        <w:ind w:right="20" w:firstLine="427"/>
        <w:spacing w:after="0" w:line="249" w:lineRule="auto"/>
        <w:rPr>
          <w:sz w:val="20"/>
          <w:szCs w:val="20"/>
          <w:color w:val="auto"/>
        </w:rPr>
      </w:pPr>
      <w:r>
        <w:rPr>
          <w:rFonts w:ascii="Times New Roman" w:cs="Times New Roman" w:eastAsia="Times New Roman" w:hAnsi="Times New Roman"/>
          <w:sz w:val="18"/>
          <w:szCs w:val="18"/>
          <w:color w:val="auto"/>
        </w:rPr>
        <w:t>In evaluating the suitability of individual candidates (both new candidates and current Board members) to recommend to the Board for nomination (and, in the case of vacancies, appointment), the Nominating and Corporate Governance Committee and the Board reviews the candidate in the context of the criteria attached to its charter. These criteria include (i) personal and professional integrity, ethics and values; (ii) experience in corporate management, such as serving as an officer or former officer of a publicly held company, and a general understanding of marketing, finance and other elements relevant to the success of a publicly held company in today’s business environment; (iii) experience in our industry and with relevant social policy concerns; (iv) experience as a board member of another publicly held company; (v) academic expertise in an area of our operations; (vi) practical and mature business judgment, including ability to make independent analytical inquiries; (vii) varied skills, backgrounds, cultures, viewpoints and perspectives; and (viii) willingness and ability to devote adequate time to Board duties. Each individual is evaluated in the context of the Board as a whole, with the objective of assembling a board of directors that can best perpetuate the success of the business and represent stockholder interests through the exercise of sound judgment using his or her diversity of experience in these various areas. The Nominating and Corporate Governance Committee is mindful of the policies regarding board service of certain investors and proxy advisory firms, which were developed due to concerns that “overboarded” directors face excessive time commitments and challenges in fulfilling their duties. Our corporate governance guidelines prohibit directors from serving on the boards of more than five public companies, including the Company, without the Board’s consent, provided, however, if a director of the Board is the chief executive officer of a public company that is not the Company, such director shall not serve on the board of directors of more than three public companies, including the Company. All of our nominees are in compliance with this requirement. The Nominating and Corporate Governance Committee reviews and considers the contributions and performance of each individual, as well as consideration of whether a director’s service on other boards will enhance, rather than interfere with, their service on our Board. In making its nominee recommendations for the Annual Meeting, our Nominating and Corporate Governance Committee noted the strong attendance, preparedness and engagement at Board and committee meetings, dedication through committee membership and compliance with our governance guidelines for each nominee. The Nominating and Corporate Governance Committee also values their input resulting from experience as a public company director and extensive expertise in the biopharmaceutical and biotechnology industries, and believes the nominees’ service on other boards enhances their contributions and the strength of our Board.</w:t>
      </w:r>
    </w:p>
    <w:p>
      <w:pPr>
        <w:spacing w:after="0" w:line="187" w:lineRule="exact"/>
        <w:rPr>
          <w:sz w:val="20"/>
          <w:szCs w:val="20"/>
          <w:color w:val="auto"/>
        </w:rPr>
      </w:pPr>
    </w:p>
    <w:p>
      <w:pPr>
        <w:ind w:right="40" w:firstLine="427"/>
        <w:spacing w:after="0" w:line="250"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any stockholder who holds 5% or more of our common stock. Such candidate will be reviewed by the committee on the same basis as it considers all other candidates. A stockholder wishing to submit a director nomination should send a letter to the Board of Directors, c/o Corporate Secretary, Puma Biotechnology, Inc., 10880 Wilshire Boulevard, Suite 1700, Los Angeles, CA 90024. The mailing envelope must contain a clear notation indicating that the enclosed letter is a “Director Nominee Recommendation.” A stockholder that wishes to recommend a director candidate should submit complete information as to the identity and qualifications of the director candidate to the Nominating and Corporate Governance Committee, including all information that would be required to be disclosed about that person in a proxy statement relating to the election of directors. In making recommendations, stockholders should be mindful of the discussion of the criteria set forth above. Satisfaction of such criteria does not imply that the Nominating and Corporate Governance Committee necessarily will nominate the person so recommended by a stockholder. With respect to deadlines and other matters relating to stockholder nominations of director candidates, see “Stockholder Proposals and Nominations.”</w:t>
      </w:r>
    </w:p>
    <w:p>
      <w:pPr>
        <w:spacing w:after="0" w:line="192" w:lineRule="exact"/>
        <w:rPr>
          <w:sz w:val="20"/>
          <w:szCs w:val="20"/>
          <w:color w:val="auto"/>
        </w:rPr>
      </w:pPr>
    </w:p>
    <w:p>
      <w:pPr>
        <w:ind w:right="100" w:firstLine="427"/>
        <w:spacing w:after="0" w:line="254"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Mr. Miller and Drs. Senderowicz and Wilson, with Dr. Wilson serving as the chair of the committee. The Board has determined that each of the members of our Nominating and Corporate Governance Committee is independent under the applicable rules and regulations of the SEC and listing standards of NASDAQ and the requirements in the Nominating and Corporate Governance Committee’s charter and our corporate governance guidelines. The Nominating and Corporate Governance Committee met on one occasion during the fiscal year ended December 31, 2025.</w:t>
      </w:r>
    </w:p>
    <w:p>
      <w:pPr>
        <w:sectPr>
          <w:pgSz w:w="11900" w:h="16838" w:orient="portrait"/>
          <w:cols w:equalWidth="0" w:num="1">
            <w:col w:w="11240"/>
          </w:cols>
          <w:pgMar w:left="320" w:top="121" w:right="339" w:bottom="361"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361"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Committee</w:t>
      </w:r>
    </w:p>
    <w:p>
      <w:pPr>
        <w:spacing w:after="0" w:line="224" w:lineRule="exact"/>
        <w:rPr>
          <w:sz w:val="20"/>
          <w:szCs w:val="20"/>
          <w:color w:val="auto"/>
        </w:rPr>
      </w:pPr>
    </w:p>
    <w:p>
      <w:pPr>
        <w:ind w:left="140" w:firstLine="427"/>
        <w:spacing w:after="0" w:line="250" w:lineRule="auto"/>
        <w:rPr>
          <w:sz w:val="20"/>
          <w:szCs w:val="20"/>
          <w:color w:val="auto"/>
        </w:rPr>
      </w:pPr>
      <w:r>
        <w:rPr>
          <w:rFonts w:ascii="Times New Roman" w:cs="Times New Roman" w:eastAsia="Times New Roman" w:hAnsi="Times New Roman"/>
          <w:sz w:val="18"/>
          <w:szCs w:val="18"/>
          <w:color w:val="auto"/>
        </w:rPr>
        <w:t>Our Research and Development Committee oversees our product pipeline and research and development efforts, including oversight and evaluation of our clinical trials and clinical development risk, as well as reviewing and pre-approving all material public disclosures related to our product pipeline and research and development efforts. As part of its oversight responsibilities, the committee also meets at least quarterly with the Chief Scientific Officer or designee to review the progress of the product pipeline and the progress and results of pre-clinical studies and clinical trials. The Research and Development Committee is comprised of Drs. Senderowicz, Wilson and Cesano and Mr. Stuglik, with Dr. Senderowicz serving as the chair of the committee. The Board has determined that each of the members of our Research and Development Committee is independent under the requirements in the Research and Development Committee’s charter and our corporate governance guidelines. The Board has determined that Drs. Senderowicz, Wilson and Cesano and Mr. Stuglik meet the requirements for scientific and/or medical expertise under the Research and Development Committee’s charter. The Research and Development Committee’s discussions included an assessment of the risks related to effects of the closure of clinical trials of NERLYNX with respect to our commercialization of NERLYNX, as well as the assessment of the clinical development risks associated with the acquisition of worldwide research and development rights, and commercial rights to alisertib.</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Committee</w:t>
      </w:r>
    </w:p>
    <w:p>
      <w:pPr>
        <w:spacing w:after="0" w:line="224" w:lineRule="exact"/>
        <w:rPr>
          <w:sz w:val="20"/>
          <w:szCs w:val="20"/>
          <w:color w:val="auto"/>
        </w:rPr>
      </w:pPr>
    </w:p>
    <w:p>
      <w:pPr>
        <w:ind w:right="180" w:firstLine="427"/>
        <w:spacing w:after="0" w:line="262" w:lineRule="auto"/>
        <w:rPr>
          <w:sz w:val="20"/>
          <w:szCs w:val="20"/>
          <w:color w:val="auto"/>
        </w:rPr>
      </w:pPr>
      <w:r>
        <w:rPr>
          <w:rFonts w:ascii="Times New Roman" w:cs="Times New Roman" w:eastAsia="Times New Roman" w:hAnsi="Times New Roman"/>
          <w:sz w:val="18"/>
          <w:szCs w:val="18"/>
          <w:color w:val="auto"/>
        </w:rPr>
        <w:t>Our Equity Incentive Committee consists of Mr. Auerbach, a director and our President and Chief Executive Officer, serving as its sole member. The Board delegated to the Equity Incentive Committee the authority to grant stock options and restricted stock units (“RSUs”) to non-executive employees, subject to the following conditions:</w:t>
      </w:r>
    </w:p>
    <w:p>
      <w:pPr>
        <w:spacing w:after="0" w:line="229" w:lineRule="exact"/>
        <w:rPr>
          <w:sz w:val="20"/>
          <w:szCs w:val="20"/>
          <w:color w:val="auto"/>
        </w:rPr>
      </w:pPr>
    </w:p>
    <w:p>
      <w:pPr>
        <w:ind w:left="460" w:right="220" w:hanging="144"/>
        <w:spacing w:after="0" w:line="277"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number of shares of common stock underlying RSUs granted pursuant to this authority is 100,000 per individual, subject to adjustment by the Board;</w:t>
      </w:r>
    </w:p>
    <w:p>
      <w:pPr>
        <w:spacing w:after="0" w:line="55" w:lineRule="exact"/>
        <w:rPr>
          <w:rFonts w:ascii="Times New Roman" w:cs="Times New Roman" w:eastAsia="Times New Roman" w:hAnsi="Times New Roman"/>
          <w:sz w:val="18"/>
          <w:szCs w:val="18"/>
          <w:color w:val="auto"/>
        </w:rPr>
      </w:pPr>
    </w:p>
    <w:p>
      <w:pPr>
        <w:ind w:left="460" w:right="420" w:hanging="144"/>
        <w:spacing w:after="0" w:line="277"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aggregate number of shares of common stock underlying stock options granted pursuant to this authority is 100,000 per individual, subject to adjustment by the Board; and</w:t>
      </w:r>
    </w:p>
    <w:p>
      <w:pPr>
        <w:spacing w:after="0" w:line="55" w:lineRule="exact"/>
        <w:rPr>
          <w:rFonts w:ascii="Times New Roman" w:cs="Times New Roman" w:eastAsia="Times New Roman" w:hAnsi="Times New Roman"/>
          <w:sz w:val="18"/>
          <w:szCs w:val="18"/>
          <w:color w:val="auto"/>
        </w:rPr>
      </w:pPr>
    </w:p>
    <w:p>
      <w:pPr>
        <w:ind w:left="460" w:right="400" w:hanging="144"/>
        <w:spacing w:after="0" w:line="277"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options must have an exercise price equal to the closing price of our common stock on the grant date and have a term not longer than 10 years.</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this delegation of authority, for fiscal year 2025, the Equity Incentive Committee granted an aggregate of 899,523 RSUs.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4" w:lineRule="exact"/>
        <w:rPr>
          <w:sz w:val="20"/>
          <w:szCs w:val="20"/>
          <w:color w:val="auto"/>
        </w:rPr>
      </w:pPr>
    </w:p>
    <w:p>
      <w:pPr>
        <w:ind w:firstLine="427"/>
        <w:spacing w:after="0" w:line="253"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establishes the standards of ethical conduct applicable to all directors, officers and employees of our Company. Our code of business conduct and ethics addresses, among other things, conflicts of interest, compliance with disclosure controls and procedures and internal control over financial reporting, corporate opportunities and confidentiality requirements. Our code of business conduct and ethics is available on our corporate website at </w:t>
      </w:r>
      <w:r>
        <w:rPr>
          <w:rFonts w:ascii="Times New Roman" w:cs="Times New Roman" w:eastAsia="Times New Roman" w:hAnsi="Times New Roman"/>
          <w:sz w:val="18"/>
          <w:szCs w:val="18"/>
          <w:i w:val="1"/>
          <w:iCs w:val="1"/>
          <w:color w:val="auto"/>
        </w:rPr>
        <w:t>https://www.pumabiotechnology.com/about/cg.html.</w:t>
      </w:r>
      <w:r>
        <w:rPr>
          <w:rFonts w:ascii="Times New Roman" w:cs="Times New Roman" w:eastAsia="Times New Roman" w:hAnsi="Times New Roman"/>
          <w:sz w:val="18"/>
          <w:szCs w:val="18"/>
          <w:color w:val="auto"/>
        </w:rPr>
        <w:t xml:space="preserve"> We intend to disclose any future amendments to our code of business conduct and ethics, or waivers of provisions required to be disclosed under the rules of the SEC, at the same location on our website identified in the preceding sentence.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4" w:lineRule="exact"/>
        <w:rPr>
          <w:sz w:val="20"/>
          <w:szCs w:val="20"/>
          <w:color w:val="auto"/>
        </w:rPr>
      </w:pPr>
    </w:p>
    <w:p>
      <w:pPr>
        <w:ind w:right="80" w:firstLine="427"/>
        <w:spacing w:after="0" w:line="257" w:lineRule="auto"/>
        <w:rPr>
          <w:sz w:val="20"/>
          <w:szCs w:val="20"/>
          <w:color w:val="auto"/>
        </w:rPr>
      </w:pPr>
      <w:r>
        <w:rPr>
          <w:rFonts w:ascii="Times New Roman" w:cs="Times New Roman" w:eastAsia="Times New Roman" w:hAnsi="Times New Roman"/>
          <w:sz w:val="18"/>
          <w:szCs w:val="18"/>
          <w:color w:val="auto"/>
        </w:rPr>
        <w:t xml:space="preserve">We have adopted corporate governance guidelines, which, among other things, highlight that the Board should consider experience, wisdom, integrity, skills (such as understanding of finance and marketing), educational and professional background, geography, culture, viewpoints, background and perspectives and their willingness and ability to devote adequate time to Board duties in evaluating the suitability of individual members of the Board. Our corporate governance guidelines are available on our corporate website at </w:t>
      </w:r>
      <w:r>
        <w:rPr>
          <w:rFonts w:ascii="Times New Roman" w:cs="Times New Roman" w:eastAsia="Times New Roman" w:hAnsi="Times New Roman"/>
          <w:sz w:val="18"/>
          <w:szCs w:val="18"/>
          <w:i w:val="1"/>
          <w:iCs w:val="1"/>
          <w:color w:val="auto"/>
        </w:rPr>
        <w:t>https://www.pumabiotechnology.com/about/cg.html.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the Board</w:t>
      </w:r>
    </w:p>
    <w:p>
      <w:pPr>
        <w:spacing w:after="0" w:line="224" w:lineRule="exact"/>
        <w:rPr>
          <w:sz w:val="20"/>
          <w:szCs w:val="20"/>
          <w:color w:val="auto"/>
        </w:rPr>
      </w:pPr>
    </w:p>
    <w:p>
      <w:pPr>
        <w:ind w:right="20" w:firstLine="427"/>
        <w:spacing w:after="0" w:line="257" w:lineRule="auto"/>
        <w:rPr>
          <w:sz w:val="20"/>
          <w:szCs w:val="20"/>
          <w:color w:val="auto"/>
        </w:rPr>
      </w:pPr>
      <w:r>
        <w:rPr>
          <w:rFonts w:ascii="Times New Roman" w:cs="Times New Roman" w:eastAsia="Times New Roman" w:hAnsi="Times New Roman"/>
          <w:sz w:val="18"/>
          <w:szCs w:val="18"/>
          <w:color w:val="auto"/>
        </w:rPr>
        <w:t>Stockholders and other interested parties may send communications to the Board, including any individual director, any non-employee director or the directors as a group, by mailing such communications to Puma Biotechnology, Inc., 10880 Wilshire Boulevard, Suite 1700, Los Angeles, CA 90024, Attention: Corporate Secretary. Such correspondence shall be addressed to the Board, any individual director or any non-employee director by either name or title.</w:t>
      </w:r>
    </w:p>
    <w:p>
      <w:pPr>
        <w:spacing w:after="0" w:line="181" w:lineRule="exact"/>
        <w:rPr>
          <w:sz w:val="20"/>
          <w:szCs w:val="20"/>
          <w:color w:val="auto"/>
        </w:rPr>
      </w:pPr>
    </w:p>
    <w:p>
      <w:pPr>
        <w:ind w:right="200" w:firstLine="427"/>
        <w:spacing w:after="0" w:line="254" w:lineRule="auto"/>
        <w:rPr>
          <w:sz w:val="20"/>
          <w:szCs w:val="20"/>
          <w:color w:val="auto"/>
        </w:rPr>
      </w:pPr>
      <w:r>
        <w:rPr>
          <w:rFonts w:ascii="Times New Roman" w:cs="Times New Roman" w:eastAsia="Times New Roman" w:hAnsi="Times New Roman"/>
          <w:sz w:val="18"/>
          <w:szCs w:val="18"/>
          <w:color w:val="auto"/>
        </w:rPr>
        <w:t>All communications received as set forth in the preceding paragraph will be opened by the Company’s Corporate Secretary for the sole purpose of determining whether the contents represent a message to the Company’s directors. Any contents that are not in the nature of advertising, promotions of a product or service or patently offensive material will be forwarded promptly to the addressee. In the case of communications to the Board, any individual director or any non-employee director, the Company’s Corporate Secretary will make sufficient copies of the contents to send to each director to which the envelope is addressed.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Compliance Policy; Pledging and Hedging Prohibited</w:t>
      </w:r>
    </w:p>
    <w:p>
      <w:pPr>
        <w:spacing w:after="0" w:line="224" w:lineRule="exact"/>
        <w:rPr>
          <w:sz w:val="20"/>
          <w:szCs w:val="20"/>
          <w:color w:val="auto"/>
        </w:rPr>
      </w:pPr>
    </w:p>
    <w:p>
      <w:pPr>
        <w:ind w:right="140" w:firstLine="427"/>
        <w:spacing w:after="0" w:line="254" w:lineRule="auto"/>
        <w:rPr>
          <w:sz w:val="20"/>
          <w:szCs w:val="20"/>
          <w:color w:val="auto"/>
        </w:rPr>
      </w:pPr>
      <w:r>
        <w:rPr>
          <w:rFonts w:ascii="Times New Roman" w:cs="Times New Roman" w:eastAsia="Times New Roman" w:hAnsi="Times New Roman"/>
          <w:sz w:val="18"/>
          <w:szCs w:val="18"/>
          <w:color w:val="auto"/>
        </w:rPr>
        <w:t>Our Board maintains an Insider Trading Compliance Policy that governs the purchase, sale and/or other disposition of the Company’s securities by directors, officers and employees of the Company. We believe our Insider Trading Compliance Policy is reasonably designed to promote compliance with insider trading laws, rules and regulations, as well as listing standards applicable to the Company. It is also our policy to comply with applicable insider trading laws and regulations with respect to transactions in our own securities. A copy of our Insider Trading Compliance Policy is attached as Exhibit 19.1 to our Annual Report on Form 10-K for the year ended December 31, 2025 filed with the SEC on February 26, 2026.</w:t>
      </w:r>
    </w:p>
    <w:p>
      <w:pPr>
        <w:spacing w:after="0" w:line="186" w:lineRule="exact"/>
        <w:rPr>
          <w:sz w:val="20"/>
          <w:szCs w:val="20"/>
          <w:color w:val="auto"/>
        </w:rPr>
      </w:pPr>
    </w:p>
    <w:p>
      <w:pPr>
        <w:jc w:val="both"/>
        <w:ind w:right="100" w:firstLine="427"/>
        <w:spacing w:after="0" w:line="262" w:lineRule="auto"/>
        <w:rPr>
          <w:sz w:val="20"/>
          <w:szCs w:val="20"/>
          <w:color w:val="auto"/>
        </w:rPr>
      </w:pPr>
      <w:r>
        <w:rPr>
          <w:rFonts w:ascii="Times New Roman" w:cs="Times New Roman" w:eastAsia="Times New Roman" w:hAnsi="Times New Roman"/>
          <w:sz w:val="18"/>
          <w:szCs w:val="18"/>
          <w:color w:val="auto"/>
        </w:rPr>
        <w:t>The Insider Trading Compliance Policy prohibits our officers, directors and employees from pledging Company stock as collateral to secure loans and from engaging in hedging transactions, including zero-cost collars and forward sale contracts. It further prohibits margin purchases of the Company’s stock, short sales of the Company’s stock, and any transactions in puts, calls or other derivative securities involving the Company’s stock.</w:t>
      </w:r>
    </w:p>
    <w:p>
      <w:pPr>
        <w:sectPr>
          <w:pgSz w:w="11900" w:h="16838" w:orient="portrait"/>
          <w:cols w:equalWidth="0" w:num="1">
            <w:col w:w="11220"/>
          </w:cols>
          <w:pgMar w:left="320" w:top="121" w:right="359" w:bottom="277"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277"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Quality, Access and Safety</w:t>
      </w:r>
    </w:p>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4" w:lineRule="exact"/>
        <w:rPr>
          <w:sz w:val="20"/>
          <w:szCs w:val="20"/>
          <w:color w:val="auto"/>
        </w:rPr>
      </w:pPr>
    </w:p>
    <w:p>
      <w:pPr>
        <w:ind w:right="60" w:firstLine="427"/>
        <w:spacing w:after="0" w:line="262" w:lineRule="auto"/>
        <w:rPr>
          <w:sz w:val="20"/>
          <w:szCs w:val="20"/>
          <w:color w:val="auto"/>
        </w:rPr>
      </w:pPr>
      <w:r>
        <w:rPr>
          <w:rFonts w:ascii="Times New Roman" w:cs="Times New Roman" w:eastAsia="Times New Roman" w:hAnsi="Times New Roman"/>
          <w:sz w:val="18"/>
          <w:szCs w:val="18"/>
          <w:color w:val="auto"/>
        </w:rPr>
        <w:t>Our Nominating and Corporate Governance Committee provides oversight and guidance, and engages in discussions with executive leadership, regarding business ethics and compliance, quality assurance, access to medicines and patient safety throughout the Company’s operations, programs, clinical trials and products.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Business Ethics and Compliance</w:t>
      </w:r>
    </w:p>
    <w:p>
      <w:pPr>
        <w:spacing w:after="0" w:line="224" w:lineRule="exact"/>
        <w:rPr>
          <w:sz w:val="20"/>
          <w:szCs w:val="20"/>
          <w:color w:val="auto"/>
        </w:rPr>
      </w:pPr>
    </w:p>
    <w:p>
      <w:pPr>
        <w:ind w:right="60" w:firstLine="427"/>
        <w:spacing w:after="0" w:line="257" w:lineRule="auto"/>
        <w:rPr>
          <w:sz w:val="20"/>
          <w:szCs w:val="20"/>
          <w:color w:val="auto"/>
        </w:rPr>
      </w:pPr>
      <w:r>
        <w:rPr>
          <w:rFonts w:ascii="Times New Roman" w:cs="Times New Roman" w:eastAsia="Times New Roman" w:hAnsi="Times New Roman"/>
          <w:sz w:val="18"/>
          <w:szCs w:val="18"/>
          <w:color w:val="auto"/>
        </w:rPr>
        <w:t>Our Board provides oversight of our compliance program and adherence to high standards of business ethics. The chair of the Audit Committee serves as the primary liaison between the Board and executive leadership on matters of ethics and compliance. Operational guidance and direction for compliance and business ethics are provided by the Compliance Committee, which is chaired by the Ethics and Compliance Officer. Members of the Compliance Committee include the senior leaders of the following functions:</w:t>
      </w:r>
    </w:p>
    <w:p>
      <w:pPr>
        <w:spacing w:after="0" w:line="234" w:lineRule="exact"/>
        <w:rPr>
          <w:sz w:val="20"/>
          <w:szCs w:val="20"/>
          <w:color w:val="auto"/>
        </w:rPr>
      </w:pPr>
    </w:p>
    <w:p>
      <w:pPr>
        <w:ind w:left="460" w:hanging="144"/>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Assurance</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Pharmacovigilance</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Resources</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Affairs</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Research and Development</w:t>
      </w:r>
    </w:p>
    <w:p>
      <w:pPr>
        <w:spacing w:after="0" w:line="273" w:lineRule="exact"/>
        <w:rPr>
          <w:sz w:val="20"/>
          <w:szCs w:val="20"/>
          <w:color w:val="auto"/>
        </w:rPr>
      </w:pPr>
    </w:p>
    <w:p>
      <w:pPr>
        <w:ind w:firstLine="427"/>
        <w:spacing w:after="0" w:line="254" w:lineRule="auto"/>
        <w:rPr>
          <w:sz w:val="20"/>
          <w:szCs w:val="20"/>
          <w:color w:val="auto"/>
        </w:rPr>
      </w:pPr>
      <w:r>
        <w:rPr>
          <w:rFonts w:ascii="Times New Roman" w:cs="Times New Roman" w:eastAsia="Times New Roman" w:hAnsi="Times New Roman"/>
          <w:sz w:val="18"/>
          <w:szCs w:val="18"/>
          <w:color w:val="auto"/>
        </w:rPr>
        <w:t>The Compliance Committee meets on at least a quarterly basis. Amongst other duties, the Compliance Committee ensures that we have devoted sufficient resources to maintain compliance with all applicable regulations and high ethical standards. In particular, the Compliance Committee is charged with ensuring that our compliance program is in alignment with the Office of the Inspector General (OIG) Compliance Program Guidance for Pharmaceutical Manufacturers. In addition, members of the Compliance Committee serve as Compliance Ambassadors within their respective departments to ensure collaboration, awareness and training are maintained.</w:t>
      </w:r>
    </w:p>
    <w:p>
      <w:pPr>
        <w:spacing w:after="0" w:line="186" w:lineRule="exact"/>
        <w:rPr>
          <w:sz w:val="20"/>
          <w:szCs w:val="20"/>
          <w:color w:val="auto"/>
        </w:rPr>
      </w:pPr>
    </w:p>
    <w:p>
      <w:pPr>
        <w:ind w:right="220" w:firstLine="427"/>
        <w:spacing w:after="0" w:line="257" w:lineRule="auto"/>
        <w:rPr>
          <w:sz w:val="20"/>
          <w:szCs w:val="20"/>
          <w:color w:val="auto"/>
        </w:rPr>
      </w:pPr>
      <w:r>
        <w:rPr>
          <w:rFonts w:ascii="Times New Roman" w:cs="Times New Roman" w:eastAsia="Times New Roman" w:hAnsi="Times New Roman"/>
          <w:sz w:val="18"/>
          <w:szCs w:val="18"/>
          <w:color w:val="auto"/>
        </w:rPr>
        <w:t>As part of our overall commitment to operating ethically, we have committed to a “speak-up culture,” which is codified through our Compliance Reporting and Investigations Policy. This policy includes the commitment to maintaining a 24/7 reporting hotline that allows for anonymous reporting of concerns. In addition, the policy describes our commitment to no retaliation associated with reporting of concerns, and the specific follow-on actions to be taken, depending on the nature of any concerns reported through the hotline.</w:t>
      </w:r>
    </w:p>
    <w:p>
      <w:pPr>
        <w:spacing w:after="0" w:line="181" w:lineRule="exact"/>
        <w:rPr>
          <w:sz w:val="20"/>
          <w:szCs w:val="20"/>
          <w:color w:val="auto"/>
        </w:rPr>
      </w:pPr>
    </w:p>
    <w:p>
      <w:pPr>
        <w:ind w:right="400" w:firstLine="427"/>
        <w:spacing w:after="0" w:line="277" w:lineRule="auto"/>
        <w:rPr>
          <w:sz w:val="20"/>
          <w:szCs w:val="20"/>
          <w:color w:val="auto"/>
        </w:rPr>
      </w:pPr>
      <w:r>
        <w:rPr>
          <w:rFonts w:ascii="Times New Roman" w:cs="Times New Roman" w:eastAsia="Times New Roman" w:hAnsi="Times New Roman"/>
          <w:sz w:val="18"/>
          <w:szCs w:val="18"/>
          <w:color w:val="auto"/>
        </w:rPr>
        <w:t>Our marketing efforts are carefully managed, and subject to our Medical, Legal, and Regulatory (MLR) Review process, to ensure that they are in compliance with applicable regulations and the highest ethical standards.</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Access to Medicine</w:t>
      </w:r>
    </w:p>
    <w:p>
      <w:pPr>
        <w:spacing w:after="0" w:line="224" w:lineRule="exact"/>
        <w:rPr>
          <w:sz w:val="20"/>
          <w:szCs w:val="20"/>
          <w:color w:val="auto"/>
        </w:rPr>
      </w:pPr>
    </w:p>
    <w:p>
      <w:pPr>
        <w:ind w:right="20" w:firstLine="427"/>
        <w:spacing w:after="0" w:line="257" w:lineRule="auto"/>
        <w:rPr>
          <w:sz w:val="20"/>
          <w:szCs w:val="20"/>
          <w:color w:val="auto"/>
        </w:rPr>
      </w:pPr>
      <w:r>
        <w:rPr>
          <w:rFonts w:ascii="Times New Roman" w:cs="Times New Roman" w:eastAsia="Times New Roman" w:hAnsi="Times New Roman"/>
          <w:sz w:val="18"/>
          <w:szCs w:val="18"/>
          <w:color w:val="auto"/>
        </w:rPr>
        <w:t>Core to our mission and culture is the belief that patients should have access to our medicines and that our staff should be dedicated to serving a patient in need. As a result, we have established and maintain a range of programs designed to maximize access to our medicines. Governance over these programs is led by the Chief Commercial Officer, and program design decisions are reviewed and approved by the Chief Financial Officer and the Chief Executive Officer.</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Key programs designed to improve access to our medicines include:</w:t>
      </w:r>
    </w:p>
    <w:p>
      <w:pPr>
        <w:spacing w:after="0" w:line="273" w:lineRule="exact"/>
        <w:rPr>
          <w:sz w:val="20"/>
          <w:szCs w:val="20"/>
          <w:color w:val="auto"/>
        </w:rPr>
      </w:pPr>
    </w:p>
    <w:p>
      <w:pPr>
        <w:ind w:left="460" w:right="20" w:hanging="144"/>
        <w:spacing w:after="0" w:line="277"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Co-pay discount cards that limit monthly co-pays to $10 for most patients in the United States with commercial insurance. Approximately $5.4 million of co-pay assistance was provided to patients in the United States in 2025.</w:t>
      </w:r>
    </w:p>
    <w:p>
      <w:pPr>
        <w:spacing w:after="0" w:line="55" w:lineRule="exact"/>
        <w:rPr>
          <w:rFonts w:ascii="Times New Roman" w:cs="Times New Roman" w:eastAsia="Times New Roman" w:hAnsi="Times New Roman"/>
          <w:sz w:val="18"/>
          <w:szCs w:val="18"/>
          <w:color w:val="auto"/>
        </w:rPr>
      </w:pPr>
    </w:p>
    <w:p>
      <w:pPr>
        <w:ind w:left="460" w:right="20" w:hanging="144"/>
        <w:spacing w:after="0" w:line="277"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large-scale Patient Assistance Program in the United States, which provides medication at no cost to uninsured or under-insured patients who cannot afford our medication. Approximately 10 percent of patients starting NERLYNX in 2025 received their medication at no cost.</w:t>
      </w:r>
    </w:p>
    <w:p>
      <w:pPr>
        <w:spacing w:after="0" w:line="55"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the 340B program, which provides medications to Medicaid patients at significant discounts.</w:t>
      </w:r>
    </w:p>
    <w:p>
      <w:pPr>
        <w:spacing w:after="0" w:line="113" w:lineRule="exact"/>
        <w:rPr>
          <w:rFonts w:ascii="Times New Roman" w:cs="Times New Roman" w:eastAsia="Times New Roman" w:hAnsi="Times New Roman"/>
          <w:sz w:val="18"/>
          <w:szCs w:val="18"/>
          <w:color w:val="auto"/>
        </w:rPr>
      </w:pPr>
    </w:p>
    <w:p>
      <w:pPr>
        <w:ind w:left="460" w:right="20" w:hanging="144"/>
        <w:spacing w:after="0" w:line="277"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pilot program to provide new patients with an initial month of medication at no cost to see if they tolerate the medicine before committing to longer-term use.</w:t>
      </w:r>
    </w:p>
    <w:p>
      <w:pPr>
        <w:spacing w:after="0" w:line="55" w:lineRule="exact"/>
        <w:rPr>
          <w:rFonts w:ascii="Times New Roman" w:cs="Times New Roman" w:eastAsia="Times New Roman" w:hAnsi="Times New Roman"/>
          <w:sz w:val="18"/>
          <w:szCs w:val="18"/>
          <w:color w:val="auto"/>
        </w:rPr>
      </w:pPr>
    </w:p>
    <w:p>
      <w:pPr>
        <w:ind w:left="460" w:right="420" w:hanging="144"/>
        <w:spacing w:after="0" w:line="277"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Supportive care medications provided at no cost to patients using our medications. Approximately $30,000 worth of vouchers for supportive care medications were provided to patients in 2025.</w:t>
      </w:r>
    </w:p>
    <w:p>
      <w:pPr>
        <w:spacing w:after="0" w:line="55" w:lineRule="exact"/>
        <w:rPr>
          <w:rFonts w:ascii="Times New Roman" w:cs="Times New Roman" w:eastAsia="Times New Roman" w:hAnsi="Times New Roman"/>
          <w:sz w:val="18"/>
          <w:szCs w:val="18"/>
          <w:color w:val="auto"/>
        </w:rPr>
      </w:pPr>
    </w:p>
    <w:p>
      <w:pPr>
        <w:ind w:left="460" w:right="260" w:hanging="144"/>
        <w:spacing w:after="0" w:line="277"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Compassionate use to provide access to medicine for individual patients on humanitarian grounds outside of a specific Company-sponsored clinical study. Compassionate use decisions are managed by our Medical Affairs organization.</w:t>
      </w:r>
    </w:p>
    <w:p>
      <w:pPr>
        <w:sectPr>
          <w:pgSz w:w="11900" w:h="16838" w:orient="portrait"/>
          <w:cols w:equalWidth="0" w:num="1">
            <w:col w:w="11220"/>
          </w:cols>
          <w:pgMar w:left="320" w:top="121" w:right="359" w:bottom="1440" w:gutter="0" w:footer="0" w:header="0"/>
        </w:sect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Product Quality</w:t>
      </w:r>
    </w:p>
    <w:p>
      <w:pPr>
        <w:spacing w:after="0" w:line="224" w:lineRule="exact"/>
        <w:rPr>
          <w:sz w:val="20"/>
          <w:szCs w:val="20"/>
          <w:color w:val="auto"/>
        </w:rPr>
      </w:pPr>
    </w:p>
    <w:p>
      <w:pPr>
        <w:ind w:firstLine="427"/>
        <w:spacing w:after="0" w:line="254" w:lineRule="auto"/>
        <w:rPr>
          <w:sz w:val="20"/>
          <w:szCs w:val="20"/>
          <w:color w:val="auto"/>
        </w:rPr>
      </w:pPr>
      <w:r>
        <w:rPr>
          <w:rFonts w:ascii="Times New Roman" w:cs="Times New Roman" w:eastAsia="Times New Roman" w:hAnsi="Times New Roman"/>
          <w:sz w:val="18"/>
          <w:szCs w:val="18"/>
          <w:color w:val="auto"/>
        </w:rPr>
        <w:t>Our commitment to quality is demonstrated through our oversight structure, as well as our extensive set of policies, procedures and systems dedicated to quality and quality assurance. Our Quality Assurance organization is independent of our clinical, manufacturing and business operations to ensure that quality personnel act independently and have autonomy from business-driven influences. The head of our Quality Assurance organization meets directly with our Chief Executive Officer with any concerns and findings. Our executive team is held responsible for ensuring that an effective quality management system is in place to ensure the quality of drug products and clinical development programs.</w:t>
      </w:r>
    </w:p>
    <w:p>
      <w:pPr>
        <w:spacing w:after="0" w:line="186" w:lineRule="exact"/>
        <w:rPr>
          <w:sz w:val="20"/>
          <w:szCs w:val="20"/>
          <w:color w:val="auto"/>
        </w:rPr>
      </w:pPr>
    </w:p>
    <w:p>
      <w:pPr>
        <w:ind w:right="140" w:firstLine="427"/>
        <w:spacing w:after="0" w:line="254" w:lineRule="auto"/>
        <w:rPr>
          <w:sz w:val="20"/>
          <w:szCs w:val="20"/>
          <w:color w:val="auto"/>
        </w:rPr>
      </w:pPr>
      <w:r>
        <w:rPr>
          <w:rFonts w:ascii="Times New Roman" w:cs="Times New Roman" w:eastAsia="Times New Roman" w:hAnsi="Times New Roman"/>
          <w:sz w:val="18"/>
          <w:szCs w:val="18"/>
          <w:color w:val="auto"/>
        </w:rPr>
        <w:t>We maintain a Quality System that encompasses an organizational structure, resources, policies, standard operating procedures and work instructions designed to ensure that safe and effective products are manufactured; that clinical trials are conducted in a manner that protects the rights, safety and well-being of trial subjects; and that our company-wide commitment to quality and the performance of the Quality System is supported by our executives and senior management. The main attributes of the Quality System are documented in our Quality Manual, which is a controlled document that cross-references the key policies and standard operating procedures that govern various aspects of the Quality System.</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Some of the key aspects of our Quality System include:</w:t>
      </w:r>
    </w:p>
    <w:p>
      <w:pPr>
        <w:spacing w:after="0" w:line="273" w:lineRule="exact"/>
        <w:rPr>
          <w:sz w:val="20"/>
          <w:szCs w:val="20"/>
          <w:color w:val="auto"/>
        </w:rPr>
      </w:pPr>
    </w:p>
    <w:p>
      <w:pPr>
        <w:ind w:left="460" w:right="80" w:hanging="144"/>
        <w:spacing w:after="0" w:line="307" w:lineRule="auto"/>
        <w:tabs>
          <w:tab w:leader="none" w:pos="4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designated person responsible for the quality of drug product released for commercial and clinical use. This person is independent of manufacturing operations and has the authority to approve or reject starting materials, drug substance, bulk product, intermediate product and finished product.</w:t>
      </w:r>
    </w:p>
    <w:p>
      <w:pPr>
        <w:spacing w:after="0" w:line="33" w:lineRule="exact"/>
        <w:rPr>
          <w:rFonts w:ascii="Times New Roman" w:cs="Times New Roman" w:eastAsia="Times New Roman" w:hAnsi="Times New Roman"/>
          <w:sz w:val="17"/>
          <w:szCs w:val="17"/>
          <w:color w:val="auto"/>
        </w:rPr>
      </w:pPr>
    </w:p>
    <w:p>
      <w:pPr>
        <w:ind w:left="460" w:right="80" w:hanging="144"/>
        <w:spacing w:after="0" w:line="262"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designated person responsible for the quality, ethics and compliance of the research, development and clinical programs. This person is independent of research and clinical operations and provides quality and compliance oversight over the clinical studies and other research and development activities.</w:t>
      </w:r>
    </w:p>
    <w:p>
      <w:pPr>
        <w:spacing w:after="0" w:line="69"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electronic document management system (EDMS) for maintaining regulated documents throughout their lifecycle.</w:t>
      </w:r>
    </w:p>
    <w:p>
      <w:pPr>
        <w:spacing w:after="0" w:line="113" w:lineRule="exact"/>
        <w:rPr>
          <w:rFonts w:ascii="Times New Roman" w:cs="Times New Roman" w:eastAsia="Times New Roman" w:hAnsi="Times New Roman"/>
          <w:sz w:val="18"/>
          <w:szCs w:val="18"/>
          <w:color w:val="auto"/>
        </w:rPr>
      </w:pPr>
    </w:p>
    <w:p>
      <w:pPr>
        <w:ind w:left="460" w:right="360" w:hanging="144"/>
        <w:spacing w:after="0" w:line="277"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validated electronic Learning Management System (LMS) that records evidence of successful completion of training files for all employees and contractors involved in all regulated activities.</w:t>
      </w:r>
    </w:p>
    <w:p>
      <w:pPr>
        <w:spacing w:after="0" w:line="55" w:lineRule="exact"/>
        <w:rPr>
          <w:rFonts w:ascii="Times New Roman" w:cs="Times New Roman" w:eastAsia="Times New Roman" w:hAnsi="Times New Roman"/>
          <w:sz w:val="18"/>
          <w:szCs w:val="18"/>
          <w:color w:val="auto"/>
        </w:rPr>
      </w:pPr>
    </w:p>
    <w:p>
      <w:pPr>
        <w:ind w:left="460" w:hanging="144"/>
        <w:spacing w:after="0" w:line="254"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with our vendor organizations contracted to: manufacture, package, label or test drug products; manage clinical trials; perform clinical site monitoring activities; or perform any other activity that could impact the quality of our products or clinical trials; to address a wide range of issues, including conformance to recognized standards of current Good Manufacturing Practice (cGMP), Good Laboratory Practice (GLP), Good Clinical Practice (GCP) and Good Pharmacovigilance Practice (GVP). Responsibilities for activities related to drug product quality and any critical clinical research services are specified in a separate, written Quality Agreement between us and the vendor.</w:t>
      </w:r>
    </w:p>
    <w:p>
      <w:pPr>
        <w:spacing w:after="0" w:line="78" w:lineRule="exact"/>
        <w:rPr>
          <w:rFonts w:ascii="Times New Roman" w:cs="Times New Roman" w:eastAsia="Times New Roman" w:hAnsi="Times New Roman"/>
          <w:sz w:val="18"/>
          <w:szCs w:val="18"/>
          <w:color w:val="auto"/>
        </w:rPr>
      </w:pPr>
    </w:p>
    <w:p>
      <w:pPr>
        <w:jc w:val="both"/>
        <w:ind w:left="460" w:right="40" w:hanging="144"/>
        <w:spacing w:after="0" w:line="262"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and internal activities that impact the quality of our product or clinical trials are subject to regular audits to ensure compliance with regulatory requirements and our policies, standard operating procedures and work instructions, as applicable. The audits are conducted according to a pre-defined schedule, depending on the nature of the activity.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Patient and Clinical Trial Safety</w:t>
      </w:r>
    </w:p>
    <w:p>
      <w:pPr>
        <w:spacing w:after="0" w:line="224" w:lineRule="exact"/>
        <w:rPr>
          <w:sz w:val="20"/>
          <w:szCs w:val="20"/>
          <w:color w:val="auto"/>
        </w:rPr>
      </w:pPr>
    </w:p>
    <w:p>
      <w:pPr>
        <w:ind w:right="240" w:firstLine="427"/>
        <w:spacing w:after="0" w:line="253" w:lineRule="auto"/>
        <w:rPr>
          <w:sz w:val="20"/>
          <w:szCs w:val="20"/>
          <w:color w:val="auto"/>
        </w:rPr>
      </w:pPr>
      <w:r>
        <w:rPr>
          <w:rFonts w:ascii="Times New Roman" w:cs="Times New Roman" w:eastAsia="Times New Roman" w:hAnsi="Times New Roman"/>
          <w:sz w:val="18"/>
          <w:szCs w:val="18"/>
          <w:color w:val="auto"/>
        </w:rPr>
        <w:t>We maintain a Safety Review Committee supported by our Pharmacovigilance organization. We have policies and standard operating procedures in place to ensure timely and comprehensive collection, review and reporting of adverse events and serious adverse events in compliance with regulatory requirements in the regions where our products are being studied or marketed. Our Pharmacovigilance organization maintains current information on the drug safety profile of our products as well as all applicable safety-related regulations. Our Pharmacovigilance organization also prepares updates on safety data from clinical trials and post-marketing, scientific literature and safety signals for presentation to the Safety Review Committee. The Safety Review Committee has responsibility for:</w:t>
      </w:r>
    </w:p>
    <w:p>
      <w:pPr>
        <w:spacing w:after="0" w:line="239" w:lineRule="exact"/>
        <w:rPr>
          <w:sz w:val="20"/>
          <w:szCs w:val="20"/>
          <w:color w:val="auto"/>
        </w:rPr>
      </w:pPr>
    </w:p>
    <w:p>
      <w:pPr>
        <w:ind w:left="460" w:right="640" w:hanging="144"/>
        <w:spacing w:after="0" w:line="277"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execution of strategies aimed at evaluation, validation, and providing recommendations for action of safety risks for our products throughout the development life cycle and following authorization for commercial use.</w:t>
      </w:r>
    </w:p>
    <w:p>
      <w:pPr>
        <w:spacing w:after="0" w:line="55"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new safety information as it becomes available.</w:t>
      </w:r>
    </w:p>
    <w:p>
      <w:pPr>
        <w:spacing w:after="0" w:line="113" w:lineRule="exact"/>
        <w:rPr>
          <w:rFonts w:ascii="Times New Roman" w:cs="Times New Roman" w:eastAsia="Times New Roman" w:hAnsi="Times New Roman"/>
          <w:sz w:val="18"/>
          <w:szCs w:val="18"/>
          <w:color w:val="auto"/>
        </w:rPr>
      </w:pPr>
    </w:p>
    <w:p>
      <w:pPr>
        <w:ind w:left="460" w:right="160" w:hanging="144"/>
        <w:spacing w:after="0" w:line="277"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all available information to validate or refute potential safety signals. Provide recommendations for action, and communication to internal and external stakeholders.</w:t>
      </w:r>
    </w:p>
    <w:p>
      <w:pPr>
        <w:spacing w:after="0" w:line="216" w:lineRule="exact"/>
        <w:rPr>
          <w:sz w:val="20"/>
          <w:szCs w:val="20"/>
          <w:color w:val="auto"/>
        </w:rPr>
      </w:pPr>
    </w:p>
    <w:p>
      <w:pPr>
        <w:ind w:right="260" w:firstLine="427"/>
        <w:spacing w:after="0" w:line="262" w:lineRule="auto"/>
        <w:rPr>
          <w:sz w:val="20"/>
          <w:szCs w:val="20"/>
          <w:color w:val="auto"/>
        </w:rPr>
      </w:pPr>
      <w:r>
        <w:rPr>
          <w:rFonts w:ascii="Times New Roman" w:cs="Times New Roman" w:eastAsia="Times New Roman" w:hAnsi="Times New Roman"/>
          <w:sz w:val="18"/>
          <w:szCs w:val="18"/>
          <w:color w:val="auto"/>
        </w:rPr>
        <w:t>In addition, standard operating procedures govern the processes that facilitate intake of safety-related inquiries, questions, and reports at any time. Medical review of each individual case safety report is performed by an internal team of medical professionals. Safety information is collected, processed, reported, and maintained in a centralized safety database.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Pharmaceuticals in the Environment</w:t>
      </w:r>
    </w:p>
    <w:p>
      <w:pPr>
        <w:spacing w:after="0" w:line="224" w:lineRule="exact"/>
        <w:rPr>
          <w:sz w:val="20"/>
          <w:szCs w:val="20"/>
          <w:color w:val="auto"/>
        </w:rPr>
      </w:pPr>
    </w:p>
    <w:p>
      <w:pPr>
        <w:ind w:firstLine="427"/>
        <w:spacing w:after="0" w:line="252" w:lineRule="auto"/>
        <w:rPr>
          <w:sz w:val="20"/>
          <w:szCs w:val="20"/>
          <w:color w:val="auto"/>
        </w:rPr>
      </w:pPr>
      <w:r>
        <w:rPr>
          <w:rFonts w:ascii="Times New Roman" w:cs="Times New Roman" w:eastAsia="Times New Roman" w:hAnsi="Times New Roman"/>
          <w:sz w:val="18"/>
          <w:szCs w:val="18"/>
          <w:color w:val="auto"/>
        </w:rPr>
        <w:t>Two of the key pathways by which pharmaceuticals may end up in the environment are through effluent from manufacturing and improper disposal of medications. We contractually require contractors performing manufacturing on our behalf to comply with all federal, state and local laws and regulations regarding effluent to minimize any potential impact through this pathway. With regard to disposal of medications, we participate in MED-Project, a nationwide initiative to promote the proper storage and disposal of medications. MED-Project is run by the Pharmaceutical Product Stewardship Working Group and is designed to facilitate use of local medication disposal and takeback programs. MED-Project operates in all 50 states and maintains a database of over 22,000 locations for disposal and takeback. Through participation in this program, we are promoting proper disposal of unused medication and reducing potential impacts from improper disposal.</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4" w:lineRule="exact"/>
        <w:rPr>
          <w:sz w:val="20"/>
          <w:szCs w:val="20"/>
          <w:color w:val="auto"/>
        </w:rPr>
      </w:pPr>
    </w:p>
    <w:p>
      <w:pPr>
        <w:ind w:right="160" w:firstLine="427"/>
        <w:spacing w:after="0" w:line="262" w:lineRule="auto"/>
        <w:rPr>
          <w:sz w:val="20"/>
          <w:szCs w:val="20"/>
          <w:color w:val="auto"/>
        </w:rPr>
      </w:pPr>
      <w:r>
        <w:rPr>
          <w:rFonts w:ascii="Times New Roman" w:cs="Times New Roman" w:eastAsia="Times New Roman" w:hAnsi="Times New Roman"/>
          <w:sz w:val="18"/>
          <w:szCs w:val="18"/>
          <w:color w:val="auto"/>
        </w:rPr>
        <w:t>Our Board has approved a compensation program for our non-employee directors (the “Director Compensation Program”), which governed their compensation for 2025. The Director Compensation Program is intended to fairly compensate our directors for the time and effort necessary to serve on the Board.</w:t>
      </w:r>
    </w:p>
    <w:p>
      <w:pPr>
        <w:spacing w:after="0" w:line="176" w:lineRule="exact"/>
        <w:rPr>
          <w:sz w:val="20"/>
          <w:szCs w:val="20"/>
          <w:color w:val="auto"/>
        </w:rPr>
      </w:pPr>
    </w:p>
    <w:p>
      <w:pPr>
        <w:ind w:right="40" w:firstLine="427"/>
        <w:spacing w:after="0" w:line="253" w:lineRule="auto"/>
        <w:rPr>
          <w:sz w:val="20"/>
          <w:szCs w:val="20"/>
          <w:color w:val="auto"/>
        </w:rPr>
      </w:pPr>
      <w:r>
        <w:rPr>
          <w:rFonts w:ascii="Times New Roman" w:cs="Times New Roman" w:eastAsia="Times New Roman" w:hAnsi="Times New Roman"/>
          <w:sz w:val="18"/>
          <w:szCs w:val="18"/>
          <w:color w:val="auto"/>
        </w:rPr>
        <w:t>Periodically, the Compensation Committee engages Compensia to perform an assessment of the Director Compensation Program relative to its then peer group of companies. In early 2025, Compensia provided their assessment to Company management and the Board and no changes to our Director Compensation Program were made during 2025 following this review. In February 2026, following an assessment completed by Compensia, and a review by our Compensation Committee, the Director Compensation Program was amended to increase the annual cash retainer for the chair of the Nominating and Corporate Governance Committee to $12,500 and for the committee members of the Nominating and Corporate Governance Committee to $6,250, in each case, effective April 1, 2026.</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Program</w:t>
      </w:r>
    </w:p>
    <w:p>
      <w:pPr>
        <w:spacing w:after="0" w:line="224" w:lineRule="exact"/>
        <w:rPr>
          <w:sz w:val="20"/>
          <w:szCs w:val="20"/>
          <w:color w:val="auto"/>
        </w:rPr>
      </w:pPr>
    </w:p>
    <w:p>
      <w:pPr>
        <w:jc w:val="both"/>
        <w:ind w:right="160" w:firstLine="427"/>
        <w:spacing w:after="0" w:line="262" w:lineRule="auto"/>
        <w:rPr>
          <w:sz w:val="20"/>
          <w:szCs w:val="20"/>
          <w:color w:val="auto"/>
        </w:rPr>
      </w:pPr>
      <w:r>
        <w:rPr>
          <w:rFonts w:ascii="Times New Roman" w:cs="Times New Roman" w:eastAsia="Times New Roman" w:hAnsi="Times New Roman"/>
          <w:sz w:val="18"/>
          <w:szCs w:val="18"/>
          <w:color w:val="auto"/>
        </w:rPr>
        <w:t>Under the Director Compensation Program, each non-employee director receives an annual cash retainer for service on the Board, and for service on each committee of which the non-employee director is a member, paid in four equal installments at the beginning of each calendar quarter. All cash fees are payable on a pro-rated basis for non-employee directors who are initially elected or appointed in the middle of a calendar quarter.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fees paid to non-employee directors for service on the Board under the Director Compensation Program as in effect during 2025 are as follows:</w:t>
      </w:r>
    </w:p>
    <w:p>
      <w:pPr>
        <w:spacing w:after="0" w:line="205" w:lineRule="exact"/>
        <w:rPr>
          <w:sz w:val="20"/>
          <w:szCs w:val="20"/>
          <w:color w:val="auto"/>
        </w:rPr>
      </w:pPr>
    </w:p>
    <w:tbl>
      <w:tblPr>
        <w:tblLayout w:type="fixed"/>
        <w:tblInd w:w="2820" w:type="dxa"/>
        <w:tblCellMar>
          <w:top w:w="0" w:type="dxa"/>
          <w:left w:w="0" w:type="dxa"/>
          <w:bottom w:w="0" w:type="dxa"/>
          <w:right w:w="0" w:type="dxa"/>
        </w:tblCellMar>
      </w:tblPr>
      <w:tr>
        <w:trPr>
          <w:trHeight w:val="207"/>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Compensation</w:t>
            </w: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Annual Retainer</w:t>
            </w:r>
          </w:p>
        </w:tc>
        <w:tc>
          <w:tcPr>
            <w:tcW w:w="7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Committee Chair Annual Retainer</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Audit</w:t>
            </w:r>
          </w:p>
        </w:tc>
        <w:tc>
          <w:tcPr>
            <w:tcW w:w="7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7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Committee Member (Non-Chair) Annual Retainer</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Audit</w:t>
            </w: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7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firstLine="427"/>
        <w:spacing w:after="0" w:line="253" w:lineRule="auto"/>
        <w:rPr>
          <w:sz w:val="20"/>
          <w:szCs w:val="20"/>
          <w:color w:val="auto"/>
        </w:rPr>
      </w:pPr>
      <w:r>
        <w:rPr>
          <w:rFonts w:ascii="Times New Roman" w:cs="Times New Roman" w:eastAsia="Times New Roman" w:hAnsi="Times New Roman"/>
          <w:sz w:val="18"/>
          <w:szCs w:val="18"/>
          <w:color w:val="auto"/>
        </w:rPr>
        <w:t>In addition, under the Director Compensation Program, each of our non-employee directors receives an annual RSU award with a value of up to $300,000 (determined using the trailing 30-calendar day average stock price through and including the grant date) (the “Annual RSU Award”), up to a maximum of 27,000 shares. The 27,000 share limit has resulted in less than $300,000 of equity award value being granted for the past four years. The Annual RSU Award is granted automatically on the date of the annual stockholders’ meeting and vests in full on the earlier of the one-year anniversary of the grant date and the date of the annual meeting following the date of grant, subject to the non-employee director’s continued service through the applicable vesting date.</w:t>
      </w:r>
    </w:p>
    <w:p>
      <w:pPr>
        <w:spacing w:after="0" w:line="185" w:lineRule="exact"/>
        <w:rPr>
          <w:sz w:val="20"/>
          <w:szCs w:val="20"/>
          <w:color w:val="auto"/>
        </w:rPr>
      </w:pPr>
    </w:p>
    <w:p>
      <w:pPr>
        <w:ind w:right="40" w:firstLine="427"/>
        <w:spacing w:after="0" w:line="253" w:lineRule="auto"/>
        <w:rPr>
          <w:sz w:val="20"/>
          <w:szCs w:val="20"/>
          <w:color w:val="auto"/>
        </w:rPr>
      </w:pPr>
      <w:r>
        <w:rPr>
          <w:rFonts w:ascii="Times New Roman" w:cs="Times New Roman" w:eastAsia="Times New Roman" w:hAnsi="Times New Roman"/>
          <w:sz w:val="18"/>
          <w:szCs w:val="18"/>
          <w:color w:val="auto"/>
        </w:rPr>
        <w:t>Upon initial appointment or election to the Board, under the Director Compensation Program, each new non-employee director receives a stock option to purchase a number of shares of common stock under the 2011 Plan with a value of up to $700,000 (determined using a Black-Scholes option value based on a trailing 30-calendar day average stock price), up to a maximum of 100,000 shares. The stock options which vest and become exercisable with respect to one-third of the shares on the first anniversary of the grant date, and with respect to an additional 1/36th of the shares on each monthly anniversary thereafter, subject to the non-employee director’s continued service through the applicable vesting date (the “Initial Option Award”). Each Initial Option Award has an exercise price per share of common stock equal to the fair market value on the date of grant.</w:t>
      </w:r>
    </w:p>
    <w:p>
      <w:pPr>
        <w:spacing w:after="0" w:line="185" w:lineRule="exact"/>
        <w:rPr>
          <w:sz w:val="20"/>
          <w:szCs w:val="20"/>
          <w:color w:val="auto"/>
        </w:rPr>
      </w:pPr>
    </w:p>
    <w:p>
      <w:pPr>
        <w:ind w:right="120" w:firstLine="427"/>
        <w:spacing w:after="0" w:line="277" w:lineRule="auto"/>
        <w:rPr>
          <w:sz w:val="20"/>
          <w:szCs w:val="20"/>
          <w:color w:val="auto"/>
        </w:rPr>
      </w:pPr>
      <w:r>
        <w:rPr>
          <w:rFonts w:ascii="Times New Roman" w:cs="Times New Roman" w:eastAsia="Times New Roman" w:hAnsi="Times New Roman"/>
          <w:sz w:val="18"/>
          <w:szCs w:val="18"/>
          <w:color w:val="auto"/>
        </w:rPr>
        <w:t>Pursuant to the terms of our 2011 Plan, any compensation payable to our non-employee directors is limited such that the maximum aggregate value of cash compensation and equity-based awards granted to any non-employee director during any calendar year is $1,000,000.</w:t>
      </w:r>
    </w:p>
    <w:p>
      <w:pPr>
        <w:spacing w:after="0" w:line="163" w:lineRule="exact"/>
        <w:rPr>
          <w:sz w:val="20"/>
          <w:szCs w:val="20"/>
          <w:color w:val="auto"/>
        </w:rPr>
      </w:pPr>
    </w:p>
    <w:p>
      <w:pPr>
        <w:ind w:right="220" w:firstLine="427"/>
        <w:spacing w:after="0" w:line="257"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earned by our non-employee directors for the year ended December 31, 2025. Mr. Auerbach, who served as our President and Chief Executive Officer during the year ended December 31, 2025, and continues to serve in that capacity, does not receive additional compensation for his service as a director, and therefore is not included in the Director Compensation table below. All compensation paid to Mr. Auerbach is reported in the Summary Compensation Table included under “Executive Compensation.”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00" w:type="dxa"/>
            <w:vAlign w:val="bottom"/>
          </w:tcPr>
          <w:p>
            <w:pPr>
              <w:spacing w:after="0"/>
              <w:rPr>
                <w:sz w:val="20"/>
                <w:szCs w:val="20"/>
                <w:color w:val="auto"/>
              </w:rPr>
            </w:pPr>
          </w:p>
        </w:tc>
        <w:tc>
          <w:tcPr>
            <w:tcW w:w="4620" w:type="dxa"/>
            <w:vAlign w:val="bottom"/>
            <w:gridSpan w:val="4"/>
          </w:tcPr>
          <w:p>
            <w:pPr>
              <w:ind w:left="1100"/>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4"/>
        </w:trPr>
        <w:tc>
          <w:tcPr>
            <w:tcW w:w="3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Stock Awards</w:t>
            </w:r>
            <w:r>
              <w:rPr>
                <w:rFonts w:ascii="Times New Roman" w:cs="Times New Roman" w:eastAsia="Times New Roman" w:hAnsi="Times New Roman"/>
                <w:sz w:val="29"/>
                <w:szCs w:val="29"/>
                <w:b w:val="1"/>
                <w:bCs w:val="1"/>
                <w:color w:val="auto"/>
                <w:w w:val="95"/>
                <w:vertAlign w:val="superscript"/>
              </w:rPr>
              <w:t>(1)</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Paid in Cash ($)</w:t>
            </w:r>
          </w:p>
        </w:tc>
        <w:tc>
          <w:tcPr>
            <w:tcW w:w="220" w:type="dxa"/>
            <w:vAlign w:val="bottom"/>
          </w:tcPr>
          <w:p>
            <w:pPr>
              <w:spacing w:after="0"/>
              <w:rPr>
                <w:sz w:val="20"/>
                <w:szCs w:val="20"/>
                <w:color w:val="auto"/>
              </w:rPr>
            </w:pPr>
          </w:p>
        </w:tc>
        <w:tc>
          <w:tcPr>
            <w:tcW w:w="14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100" w:type="dxa"/>
            <w:vAlign w:val="bottom"/>
          </w:tcPr>
          <w:p>
            <w:pPr>
              <w:spacing w:after="0"/>
              <w:rPr>
                <w:sz w:val="20"/>
                <w:szCs w:val="20"/>
                <w:color w:val="auto"/>
              </w:rPr>
            </w:pPr>
          </w:p>
        </w:tc>
      </w:tr>
      <w:tr>
        <w:trPr>
          <w:trHeight w:val="207"/>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Alessandra Cesano M.D., Ph.D.</w:t>
            </w:r>
          </w:p>
        </w:tc>
        <w:tc>
          <w:tcPr>
            <w:tcW w:w="4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57,500</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95,580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153,080</w:t>
            </w:r>
          </w:p>
        </w:tc>
      </w:tr>
      <w:tr>
        <w:trPr>
          <w:trHeight w:val="21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Allison Dorval</w:t>
            </w:r>
          </w:p>
        </w:tc>
        <w:tc>
          <w:tcPr>
            <w:tcW w:w="4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60,000</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95,580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155,580</w:t>
            </w:r>
          </w:p>
        </w:tc>
      </w:tr>
      <w:tr>
        <w:trPr>
          <w:trHeight w:val="21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P. Miller</w:t>
            </w:r>
          </w:p>
        </w:tc>
        <w:tc>
          <w:tcPr>
            <w:tcW w:w="4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62,500</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95,580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158,080</w:t>
            </w:r>
          </w:p>
        </w:tc>
      </w:tr>
      <w:tr>
        <w:trPr>
          <w:trHeight w:val="21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Jay M. Moyes</w:t>
            </w:r>
          </w:p>
        </w:tc>
        <w:tc>
          <w:tcPr>
            <w:tcW w:w="4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77,500</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95,580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173,080</w:t>
            </w:r>
          </w:p>
        </w:tc>
      </w:tr>
      <w:tr>
        <w:trPr>
          <w:trHeight w:val="21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Adrian M. Senderowicz, M.D.</w:t>
            </w:r>
          </w:p>
        </w:tc>
        <w:tc>
          <w:tcPr>
            <w:tcW w:w="4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70,000</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95,580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165,580</w:t>
            </w:r>
          </w:p>
        </w:tc>
      </w:tr>
      <w:tr>
        <w:trPr>
          <w:trHeight w:val="21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Brian Stuglik, R.Ph.</w:t>
            </w:r>
          </w:p>
        </w:tc>
        <w:tc>
          <w:tcPr>
            <w:tcW w:w="46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72,500</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95,580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168,080</w:t>
            </w:r>
          </w:p>
        </w:tc>
      </w:tr>
      <w:tr>
        <w:trPr>
          <w:trHeight w:val="21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Troy E. Wilson, Ph.D., J.D.</w:t>
            </w:r>
          </w:p>
        </w:tc>
        <w:tc>
          <w:tcPr>
            <w:tcW w:w="46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77,500</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95,580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173,080</w:t>
            </w:r>
          </w:p>
        </w:tc>
      </w:tr>
    </w:tbl>
    <w:p>
      <w:pPr>
        <w:spacing w:after="0" w:line="195" w:lineRule="exact"/>
        <w:rPr>
          <w:sz w:val="20"/>
          <w:szCs w:val="20"/>
          <w:color w:val="auto"/>
        </w:rPr>
      </w:pPr>
    </w:p>
    <w:p>
      <w:pPr>
        <w:ind w:left="480" w:right="20" w:hanging="473"/>
        <w:spacing w:after="0" w:line="271" w:lineRule="auto"/>
        <w:tabs>
          <w:tab w:leader="none" w:pos="4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Represents the grant date fair value of 27,000 RSUs granted on June 11, 2025 determined in accordance with Accounting Standards Codification 718, </w:t>
      </w:r>
      <w:r>
        <w:rPr>
          <w:rFonts w:ascii="Times New Roman" w:cs="Times New Roman" w:eastAsia="Times New Roman" w:hAnsi="Times New Roman"/>
          <w:sz w:val="17"/>
          <w:szCs w:val="17"/>
          <w:i w:val="1"/>
          <w:iCs w:val="1"/>
          <w:color w:val="auto"/>
        </w:rPr>
        <w:t xml:space="preserve">Compensation-Stock Compensation </w:t>
      </w:r>
      <w:r>
        <w:rPr>
          <w:rFonts w:ascii="Times New Roman" w:cs="Times New Roman" w:eastAsia="Times New Roman" w:hAnsi="Times New Roman"/>
          <w:sz w:val="17"/>
          <w:szCs w:val="17"/>
          <w:color w:val="auto"/>
        </w:rPr>
        <w:t>(“ASC 718”). For a discussion of valuation assumptions for RSU awards, see Note 10 to our 2025 Consolidated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Statements included in our Annual Report on Form 10-K for the year ended December 31, 2025 and filed on February 26, 2026. The closing stock price on the June 11, 2025 date of grant was $3.54. The RSUs granted in 2025 had a value that was less than the annual $300,000 grant value as a result of the 27,000 shares cap on the number of shares that could be subject to the award. As of December 31, 2025, each of our non-employee directors held 27,000 unvested RSUs. As of December 31, 2025, our non-employee directors held the following outstanding vested and unvested stock</w:t>
      </w:r>
    </w:p>
    <w:p>
      <w:pPr>
        <w:sectPr>
          <w:pgSz w:w="11900" w:h="16838" w:orient="portrait"/>
          <w:cols w:equalWidth="0" w:num="1">
            <w:col w:w="11240"/>
          </w:cols>
          <w:pgMar w:left="320" w:top="121" w:right="339" w:bottom="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color w:val="auto"/>
        </w:rPr>
        <w:t>options: Dr. Cesano – 100,000; Ms. Dorval – 108,721; Mr. Miller – 17,626; Mr. Moyes – 17,604; Dr. Senderowicz – 27,604; Dr. Stuglik – 93,953; Dr.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Wilson – 17,604.</w:t>
      </w:r>
    </w:p>
    <w:p>
      <w:pPr>
        <w:spacing w:after="0" w:line="20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83820</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680"/>
          </w:cols>
          <w:pgMar w:left="800" w:top="121" w:right="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Stock Ownership Guidelines</w:t>
      </w:r>
    </w:p>
    <w:p>
      <w:pPr>
        <w:spacing w:after="0" w:line="224" w:lineRule="exact"/>
        <w:rPr>
          <w:sz w:val="20"/>
          <w:szCs w:val="20"/>
          <w:color w:val="auto"/>
        </w:rPr>
      </w:pPr>
    </w:p>
    <w:p>
      <w:pPr>
        <w:ind w:right="60" w:firstLine="427"/>
        <w:spacing w:after="0" w:line="249" w:lineRule="auto"/>
        <w:rPr>
          <w:sz w:val="20"/>
          <w:szCs w:val="20"/>
          <w:color w:val="auto"/>
        </w:rPr>
      </w:pPr>
      <w:r>
        <w:rPr>
          <w:rFonts w:ascii="Times New Roman" w:cs="Times New Roman" w:eastAsia="Times New Roman" w:hAnsi="Times New Roman"/>
          <w:sz w:val="18"/>
          <w:szCs w:val="18"/>
          <w:color w:val="auto"/>
        </w:rPr>
        <w:t>Our corporate governance guidelines contain certain stock ownership guidelines for our non-employee directors. Pursuant to the guidelines in effect for 2025, each non-employee director was expected to attain beneficial ownership of 10,000 shares of our common stock within three years after joining the Board, and to maintain or exceed such ownership throughout service as our director. In February 2025, the Board approved revised stock ownership guidelines for our non-employee directors. Our non-employee directors have no later than December 31, 2029 or, if later, December 31 of the year in which the fifth anniversary of a non-employee director’s appointment or election to serve on the Board occurs, to acquire and retain shares of our common stock that equal or exceed three times their annual cash retainer pursuant to the terms of such guidelines; provided, that, each non-employee director serving on the Board as of February 11, 2025 is required to retain a minimum level of beneficial ownership of at least 10,000 shares of common stock until December 31, 2029, consistent with the guidelines in place prior to the 2025 amendment. Shares beneficially owned by our non-employee directors, directly or indirectly, such as shares held by an immediate family member living in the same household or shares in a trust, and shares represented by unvested RSUs, count toward meeting the stock ownership guidelines. Unexercised stock options and any performance-based incentive awards that have not been earned do not count toward meeting the stock ownership guidelines. Unless otherwise approved by the Board, each such director must refrain from selling any shares of our common stock (other than for purposes of paying taxes associated with the acquisition of such shares) until the minimum ownership requirement is met. As of December 31, 2025, each non-employee director had met the then currently existing ownership requirements.</w:t>
      </w:r>
    </w:p>
    <w:p>
      <w:pPr>
        <w:spacing w:after="0" w:line="1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SECURITY OWNERSHIP OF DIRECTORS, EXECUTIVE OFFICERS AND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BENEFICIAL OWNERS</w:t>
      </w:r>
    </w:p>
    <w:p>
      <w:pPr>
        <w:spacing w:after="0" w:line="201" w:lineRule="exact"/>
        <w:rPr>
          <w:sz w:val="20"/>
          <w:szCs w:val="20"/>
          <w:color w:val="auto"/>
        </w:rPr>
      </w:pPr>
    </w:p>
    <w:p>
      <w:pPr>
        <w:ind w:right="20" w:firstLine="427"/>
        <w:spacing w:after="0" w:line="254" w:lineRule="auto"/>
        <w:rPr>
          <w:sz w:val="20"/>
          <w:szCs w:val="20"/>
          <w:color w:val="auto"/>
        </w:rPr>
      </w:pPr>
      <w:r>
        <w:rPr>
          <w:rFonts w:ascii="Times New Roman" w:cs="Times New Roman" w:eastAsia="Times New Roman" w:hAnsi="Times New Roman"/>
          <w:sz w:val="18"/>
          <w:szCs w:val="18"/>
          <w:color w:val="auto"/>
        </w:rPr>
        <w:t>The following table sets forth the number of shares of our common stock beneficially owned as of April 13, 2026, by (i) each person known by us to be the beneficial owner of more than 5% of the outstanding shares of our common stock, (ii) each of our directors and director nominees, (iii) each of our “Named Executive Officers” identified under the “Executive Compensation” section of this proxy statement, and (iv) all current executive officers and directors as a group. Unless otherwise noted below, the address of each stockholder below is c/o Puma Biotechnology, Inc., 10880 Wilshire Boulevard, Suite 1700, Los Angeles, CA 90024.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SHARES BENEFICIALLY</w:t>
            </w:r>
          </w:p>
        </w:tc>
        <w:tc>
          <w:tcPr>
            <w:tcW w:w="0" w:type="dxa"/>
            <w:vAlign w:val="bottom"/>
          </w:tcPr>
          <w:p>
            <w:pPr>
              <w:spacing w:after="0"/>
              <w:rPr>
                <w:sz w:val="1"/>
                <w:szCs w:val="1"/>
                <w:color w:val="auto"/>
              </w:rPr>
            </w:pPr>
          </w:p>
        </w:tc>
      </w:tr>
      <w:tr>
        <w:trPr>
          <w:trHeight w:val="236"/>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3920" w:type="dxa"/>
            <w:vAlign w:val="bottom"/>
            <w:gridSpan w:val="2"/>
            <w:vMerge w:val="restart"/>
          </w:tcPr>
          <w:p>
            <w:pPr>
              <w:ind w:left="16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820" w:type="dxa"/>
            <w:vAlign w:val="bottom"/>
            <w:gridSpan w:val="4"/>
          </w:tcPr>
          <w:p>
            <w:pPr>
              <w:jc w:val="center"/>
              <w:ind w:right="20"/>
              <w:spacing w:after="0" w:line="236" w:lineRule="exact"/>
              <w:rPr>
                <w:sz w:val="20"/>
                <w:szCs w:val="20"/>
                <w:color w:val="auto"/>
              </w:rPr>
            </w:pPr>
            <w:r>
              <w:rPr>
                <w:rFonts w:ascii="Times New Roman" w:cs="Times New Roman" w:eastAsia="Times New Roman" w:hAnsi="Times New Roman"/>
                <w:sz w:val="17"/>
                <w:szCs w:val="17"/>
                <w:b w:val="1"/>
                <w:bCs w:val="1"/>
                <w:color w:val="auto"/>
              </w:rPr>
              <w:t xml:space="preserve">OWNED </w:t>
            </w:r>
            <w:r>
              <w:rPr>
                <w:rFonts w:ascii="Times New Roman" w:cs="Times New Roman" w:eastAsia="Times New Roman" w:hAnsi="Times New Roman"/>
                <w:sz w:val="27"/>
                <w:szCs w:val="27"/>
                <w:b w:val="1"/>
                <w:bCs w:val="1"/>
                <w:color w:val="auto"/>
                <w:vertAlign w:val="superscript"/>
              </w:rPr>
              <w:t>(1)</w:t>
            </w:r>
          </w:p>
        </w:tc>
        <w:tc>
          <w:tcPr>
            <w:tcW w:w="0" w:type="dxa"/>
            <w:vAlign w:val="bottom"/>
          </w:tcPr>
          <w:p>
            <w:pPr>
              <w:spacing w:after="0"/>
              <w:rPr>
                <w:sz w:val="1"/>
                <w:szCs w:val="1"/>
                <w:color w:val="auto"/>
              </w:rPr>
            </w:pPr>
          </w:p>
        </w:tc>
      </w:tr>
      <w:tr>
        <w:trPr>
          <w:trHeight w:val="207"/>
        </w:trPr>
        <w:tc>
          <w:tcPr>
            <w:tcW w:w="44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3920" w:type="dxa"/>
            <w:vAlign w:val="bottom"/>
            <w:gridSpan w:val="2"/>
            <w:vMerge w:val="continue"/>
          </w:tcPr>
          <w:p>
            <w:pPr>
              <w:spacing w:after="0"/>
              <w:rPr>
                <w:sz w:val="17"/>
                <w:szCs w:val="17"/>
                <w:color w:val="auto"/>
              </w:rPr>
            </w:pPr>
          </w:p>
        </w:tc>
        <w:tc>
          <w:tcPr>
            <w:tcW w:w="146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NUMBER (#)</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20" w:type="dxa"/>
            <w:vAlign w:val="bottom"/>
          </w:tcPr>
          <w:p>
            <w:pPr>
              <w:spacing w:after="0"/>
              <w:rPr>
                <w:sz w:val="17"/>
                <w:szCs w:val="17"/>
                <w:color w:val="auto"/>
              </w:rPr>
            </w:pPr>
          </w:p>
        </w:tc>
        <w:tc>
          <w:tcPr>
            <w:tcW w:w="3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4"/>
                <w:szCs w:val="14"/>
                <w:color w:val="auto"/>
              </w:rPr>
              <w:t xml:space="preserve">Alan H. Auerbach </w:t>
            </w:r>
            <w:r>
              <w:rPr>
                <w:rFonts w:ascii="Times New Roman" w:cs="Times New Roman" w:eastAsia="Times New Roman" w:hAnsi="Times New Roman"/>
                <w:sz w:val="22"/>
                <w:szCs w:val="22"/>
                <w:color w:val="auto"/>
                <w:vertAlign w:val="superscript"/>
              </w:rPr>
              <w:t>(2)</w:t>
            </w:r>
          </w:p>
        </w:tc>
        <w:tc>
          <w:tcPr>
            <w:tcW w:w="120" w:type="dxa"/>
            <w:vAlign w:val="bottom"/>
            <w:shd w:val="clear" w:color="auto" w:fill="CCEEFF"/>
          </w:tcPr>
          <w:p>
            <w:pPr>
              <w:spacing w:after="0"/>
              <w:rPr>
                <w:sz w:val="16"/>
                <w:szCs w:val="16"/>
                <w:color w:val="auto"/>
              </w:rPr>
            </w:pPr>
          </w:p>
        </w:tc>
        <w:tc>
          <w:tcPr>
            <w:tcW w:w="39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President, Chief Executive Officer and Chairman of</w:t>
            </w:r>
          </w:p>
        </w:tc>
        <w:tc>
          <w:tcPr>
            <w:tcW w:w="1460" w:type="dxa"/>
            <w:vAlign w:val="bottom"/>
            <w:gridSpan w:val="2"/>
            <w:shd w:val="clear" w:color="auto" w:fill="CCEEFF"/>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10,660,866</w:t>
            </w:r>
          </w:p>
        </w:tc>
        <w:tc>
          <w:tcPr>
            <w:tcW w:w="134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00" w:type="dxa"/>
            <w:vAlign w:val="bottom"/>
            <w:shd w:val="clear" w:color="auto" w:fill="CCEEFF"/>
          </w:tcPr>
          <w:p>
            <w:pPr>
              <w:spacing w:after="0"/>
              <w:rPr>
                <w:sz w:val="20"/>
                <w:szCs w:val="20"/>
                <w:color w:val="auto"/>
              </w:rPr>
            </w:pPr>
          </w:p>
        </w:tc>
        <w:tc>
          <w:tcPr>
            <w:tcW w:w="4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Board</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400" w:type="dxa"/>
            <w:vAlign w:val="bottom"/>
            <w:gridSpan w:val="2"/>
          </w:tcPr>
          <w:p>
            <w:pPr>
              <w:spacing w:after="0" w:line="213" w:lineRule="exact"/>
              <w:rPr>
                <w:sz w:val="20"/>
                <w:szCs w:val="20"/>
                <w:color w:val="auto"/>
              </w:rPr>
            </w:pPr>
            <w:r>
              <w:rPr>
                <w:rFonts w:ascii="Times New Roman" w:cs="Times New Roman" w:eastAsia="Times New Roman" w:hAnsi="Times New Roman"/>
                <w:sz w:val="15"/>
                <w:szCs w:val="15"/>
                <w:color w:val="auto"/>
              </w:rPr>
              <w:t xml:space="preserve">Maximo F. Nougues </w:t>
            </w:r>
            <w:r>
              <w:rPr>
                <w:rFonts w:ascii="Times New Roman" w:cs="Times New Roman" w:eastAsia="Times New Roman" w:hAnsi="Times New Roman"/>
                <w:sz w:val="24"/>
                <w:szCs w:val="24"/>
                <w:color w:val="auto"/>
                <w:vertAlign w:val="superscript"/>
              </w:rPr>
              <w:t>(3)</w:t>
            </w:r>
          </w:p>
        </w:tc>
        <w:tc>
          <w:tcPr>
            <w:tcW w:w="1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619,034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4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Douglas Hunt, B.Sc. (Hons). (4)</w:t>
            </w:r>
          </w:p>
        </w:tc>
        <w:tc>
          <w:tcPr>
            <w:tcW w:w="120" w:type="dxa"/>
            <w:vAlign w:val="bottom"/>
            <w:shd w:val="clear" w:color="auto" w:fill="CCEEFF"/>
          </w:tcPr>
          <w:p>
            <w:pPr>
              <w:spacing w:after="0"/>
              <w:rPr>
                <w:sz w:val="16"/>
                <w:szCs w:val="16"/>
                <w:color w:val="auto"/>
              </w:rPr>
            </w:pPr>
          </w:p>
        </w:tc>
        <w:tc>
          <w:tcPr>
            <w:tcW w:w="39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Chief Regulatory Affairs, Medical Affairs, and</w:t>
            </w:r>
          </w:p>
        </w:tc>
        <w:tc>
          <w:tcPr>
            <w:tcW w:w="1460" w:type="dxa"/>
            <w:vAlign w:val="bottom"/>
            <w:gridSpan w:val="2"/>
            <w:shd w:val="clear" w:color="auto" w:fill="CCEEFF"/>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504,854</w:t>
            </w:r>
          </w:p>
        </w:tc>
        <w:tc>
          <w:tcPr>
            <w:tcW w:w="134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00" w:type="dxa"/>
            <w:vAlign w:val="bottom"/>
            <w:shd w:val="clear" w:color="auto" w:fill="CCEEFF"/>
          </w:tcPr>
          <w:p>
            <w:pPr>
              <w:spacing w:after="0"/>
              <w:rPr>
                <w:sz w:val="20"/>
                <w:szCs w:val="20"/>
                <w:color w:val="auto"/>
              </w:rPr>
            </w:pPr>
          </w:p>
        </w:tc>
        <w:tc>
          <w:tcPr>
            <w:tcW w:w="4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Pharmacovigilance Officer</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 J. Ludwig (5)</w:t>
            </w:r>
          </w:p>
        </w:tc>
        <w:tc>
          <w:tcPr>
            <w:tcW w:w="1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Commercial Officer</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95,417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Alessandra Cesano, M.D., Ph.D. (6)</w:t>
            </w:r>
          </w:p>
        </w:tc>
        <w:tc>
          <w:tcPr>
            <w:tcW w:w="1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141,850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Allison Dorval (7)</w:t>
            </w:r>
          </w:p>
        </w:tc>
        <w:tc>
          <w:tcPr>
            <w:tcW w:w="1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184,111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P. Miller (8)</w:t>
            </w:r>
          </w:p>
        </w:tc>
        <w:tc>
          <w:tcPr>
            <w:tcW w:w="1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71,626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Jay M. Moyes (9)</w:t>
            </w:r>
          </w:p>
        </w:tc>
        <w:tc>
          <w:tcPr>
            <w:tcW w:w="1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70,926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Adrian M. Senderowicz, M.D. (10)</w:t>
            </w:r>
          </w:p>
        </w:tc>
        <w:tc>
          <w:tcPr>
            <w:tcW w:w="1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54,604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Stuglik, R.Ph. (11)</w:t>
            </w:r>
          </w:p>
        </w:tc>
        <w:tc>
          <w:tcPr>
            <w:tcW w:w="1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188,911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Troy E. Wilson, Ph.D., J.D. (12)</w:t>
            </w:r>
          </w:p>
        </w:tc>
        <w:tc>
          <w:tcPr>
            <w:tcW w:w="1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61,704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4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w w:val="98"/>
              </w:rPr>
              <w:t>All current executive officers and directors as a group (10</w:t>
            </w:r>
          </w:p>
        </w:tc>
        <w:tc>
          <w:tcPr>
            <w:tcW w:w="1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right"/>
              <w:ind w:right="120"/>
              <w:spacing w:after="0" w:line="191" w:lineRule="exact"/>
              <w:rPr>
                <w:sz w:val="20"/>
                <w:szCs w:val="20"/>
                <w:color w:val="auto"/>
              </w:rPr>
            </w:pPr>
            <w:r>
              <w:rPr>
                <w:rFonts w:ascii="Times New Roman" w:cs="Times New Roman" w:eastAsia="Times New Roman" w:hAnsi="Times New Roman"/>
                <w:sz w:val="18"/>
                <w:szCs w:val="18"/>
                <w:b w:val="1"/>
                <w:bCs w:val="1"/>
                <w:color w:val="auto"/>
              </w:rPr>
              <w:t>12,558,486</w:t>
            </w: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22.2%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individuals)(13)</w:t>
            </w:r>
          </w:p>
        </w:tc>
        <w:tc>
          <w:tcPr>
            <w:tcW w:w="1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Holding 5% or More</w:t>
            </w:r>
          </w:p>
        </w:tc>
        <w:tc>
          <w:tcPr>
            <w:tcW w:w="12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Acorn Capital Advisors (14)</w:t>
            </w:r>
          </w:p>
        </w:tc>
        <w:tc>
          <w:tcPr>
            <w:tcW w:w="1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3,940,052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Fund Advisors (15)</w:t>
            </w:r>
          </w:p>
        </w:tc>
        <w:tc>
          <w:tcPr>
            <w:tcW w:w="12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2,779,452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Denotes less than 1.0% of beneficial ownership.</w:t>
            </w:r>
          </w:p>
        </w:tc>
        <w:tc>
          <w:tcPr>
            <w:tcW w:w="1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940" w:type="dxa"/>
            <w:vAlign w:val="bottom"/>
            <w:gridSpan w:val="2"/>
          </w:tcPr>
          <w:p>
            <w:pPr>
              <w:jc w:val="right"/>
              <w:ind w:right="253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00" w:type="dxa"/>
            <w:vAlign w:val="bottom"/>
            <w:tcBorders>
              <w:bottom w:val="single" w:sz="8" w:color="auto"/>
            </w:tcBorders>
          </w:tcPr>
          <w:p>
            <w:pPr>
              <w:spacing w:after="0"/>
              <w:rPr>
                <w:sz w:val="9"/>
                <w:szCs w:val="9"/>
                <w:color w:val="auto"/>
              </w:rPr>
            </w:pPr>
          </w:p>
        </w:tc>
        <w:tc>
          <w:tcPr>
            <w:tcW w:w="4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left="360" w:right="40" w:hanging="353"/>
        <w:spacing w:after="0" w:line="250"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percentages are based on 50,891,675 shares of our common stock outstanding as of April 13, 2026. This table is based upon information supplied by our officers, directors, principal stockholders and transfer agent, and information contained in Schedules 13G filed with the SEC. Unless otherwise noted in the footnotes to this table, we believe each of the stockholders named in this table has sole voting and investment power with respect to the shares indicated as beneficially owned, subject to community property laws, where applicable. Beneficial ownership is determined in accordance with SEC rules, and includes any shares as to which the stockholder has sole or shared voting power or investment power, and also any shares which the stockholder has the right to acquire within 60 days of April 13, 2026, whether through the exercise or conversion of any stock option, convertible security, warrant or other right, which rights are considered outstanding only for such person. The indication herein that shares are beneficially owned is not an admission on the part of the stockholder that such stockholder has a direct or indirect pecuniary interest in those shares.</w:t>
      </w:r>
    </w:p>
    <w:p>
      <w:pPr>
        <w:spacing w:after="0" w:line="1" w:lineRule="exact"/>
        <w:rPr>
          <w:rFonts w:ascii="Times New Roman" w:cs="Times New Roman" w:eastAsia="Times New Roman" w:hAnsi="Times New Roman"/>
          <w:sz w:val="18"/>
          <w:szCs w:val="18"/>
          <w:color w:val="auto"/>
        </w:rPr>
      </w:pPr>
    </w:p>
    <w:p>
      <w:pPr>
        <w:ind w:left="360" w:hanging="353"/>
        <w:spacing w:after="0"/>
        <w:tabs>
          <w:tab w:leader="none" w:pos="3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7,046,751 shares held by Mr. Auerbach, (ii) 2,116,250 shares exercisable pursuant to the Auerbach Warrant (as defined on page 32), and</w:t>
      </w:r>
    </w:p>
    <w:p>
      <w:pPr>
        <w:spacing w:after="0" w:line="17" w:lineRule="exact"/>
        <w:rPr>
          <w:rFonts w:ascii="Times New Roman" w:cs="Times New Roman" w:eastAsia="Times New Roman" w:hAnsi="Times New Roman"/>
          <w:sz w:val="17"/>
          <w:szCs w:val="17"/>
          <w:color w:val="auto"/>
        </w:rPr>
      </w:pPr>
    </w:p>
    <w:p>
      <w:pPr>
        <w:ind w:left="660" w:hanging="306"/>
        <w:spacing w:after="0"/>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1,497,865 shares of our common stock exercisable within 60 days of April 13, 2026.</w:t>
      </w:r>
    </w:p>
    <w:p>
      <w:pPr>
        <w:spacing w:after="0" w:line="6" w:lineRule="exact"/>
        <w:rPr>
          <w:rFonts w:ascii="Times New Roman" w:cs="Times New Roman" w:eastAsia="Times New Roman" w:hAnsi="Times New Roman"/>
          <w:sz w:val="18"/>
          <w:szCs w:val="18"/>
          <w:color w:val="auto"/>
        </w:rPr>
      </w:pPr>
    </w:p>
    <w:p>
      <w:pPr>
        <w:ind w:left="360" w:right="380" w:hanging="353"/>
        <w:spacing w:after="0" w:line="247"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162,556 shares held by Mr. Nougues, and (ii) options to purchase 456,478 shares of our common stock exercisable within 60 days of April 13, 2026.</w:t>
      </w:r>
    </w:p>
    <w:p>
      <w:pPr>
        <w:ind w:left="360" w:right="240" w:hanging="353"/>
        <w:spacing w:after="0" w:line="247"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131,848 shares held by Mr. Hunt, and (ii) options to purchase 373,006 shares of our common stock exercisable within 60 days of April 13, 2026.</w:t>
      </w:r>
    </w:p>
    <w:p>
      <w:pPr>
        <w:ind w:left="360" w:hanging="353"/>
        <w:spacing w:after="0"/>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95,417 shares held by Mr. Ludwig at the time of his separation on May 8, 2025</w:t>
      </w:r>
    </w:p>
    <w:p>
      <w:pPr>
        <w:spacing w:after="0" w:line="6" w:lineRule="exact"/>
        <w:rPr>
          <w:rFonts w:ascii="Times New Roman" w:cs="Times New Roman" w:eastAsia="Times New Roman" w:hAnsi="Times New Roman"/>
          <w:sz w:val="18"/>
          <w:szCs w:val="18"/>
          <w:color w:val="auto"/>
        </w:rPr>
      </w:pPr>
    </w:p>
    <w:p>
      <w:pPr>
        <w:ind w:left="360" w:right="320" w:hanging="353"/>
        <w:spacing w:after="0" w:line="247"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14,850 shares held by Dr. Cesano, and (ii) stock awards of 27,000 shares vesting within 60 days of April 13, 2026, and (iii) options to purchase 100,000 shares of our common stock exercisable within 60 days of April 13, 2026.</w:t>
      </w:r>
    </w:p>
    <w:p>
      <w:pPr>
        <w:ind w:left="360" w:right="600" w:hanging="353"/>
        <w:spacing w:after="0" w:line="247"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48,390 shares held by Ms. Dorval, (ii) stock awards of 27,000 shares vesting within 60 days of April 13, 2026, and (iii) options to purchase 108,721 shares of our common stock exercisable within 60 days of April 13, 2026.</w:t>
      </w:r>
    </w:p>
    <w:p>
      <w:pPr>
        <w:ind w:left="360" w:hanging="353"/>
        <w:spacing w:after="0" w:line="247"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27,000 shares held by Mr. Miller, (ii) stock awards of 27,000 shares vesting within 60 days of April 13, 2026, and (iii) options to purchase 17,626 shares of our common stock exercisable within 60 days of April 13, 2026.</w:t>
      </w:r>
    </w:p>
    <w:p>
      <w:pPr>
        <w:ind w:left="360" w:right="640" w:hanging="353"/>
        <w:spacing w:after="0" w:line="247"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26,322 shares held by Mr. Moyes, (ii) stock awards of 27,000 shares vesting within 60 days of April 13, 2026, and (iii) options to purchase 17,604 shares of our common stock exercisable within 60 days of April 13, 2026.</w:t>
      </w:r>
    </w:p>
    <w:p>
      <w:pPr>
        <w:ind w:left="360" w:right="60" w:hanging="353"/>
        <w:spacing w:after="0" w:line="247"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stock awards of 27,000 shares vesting within 60 days of April 13, 2026 by Dr. Senderowicz, and (ii) options to purchase 27,604 shares of our common stock exercisable within 60 days of April 13, 2026.</w:t>
      </w:r>
    </w:p>
    <w:p>
      <w:pPr>
        <w:ind w:left="360" w:right="600" w:hanging="353"/>
        <w:spacing w:after="0" w:line="247"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67,958 shares held by Mr. Stuglik, (ii) stock awards of 27,000 shares vesting within 60 days of April 13, 2026, and (iii) options to purchase 93,953 shares of our common stock exercisable within 60 days of April 13, 2026.</w:t>
      </w:r>
    </w:p>
    <w:p>
      <w:pPr>
        <w:ind w:left="360" w:right="200" w:hanging="353"/>
        <w:spacing w:after="0" w:line="247"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16,200 shares held by Dr. Wilson, (ii) stock awards of 27,000 shares vesting within 60 days of April 13, 2026, (ii) 350 shares held in an IRA by Dr. Wilson, (iii) a total of 550 shares held in minor accounts for Dr. Wilson’s children, and (iv) options to purchase 17,604 shares of our common stock exercisable within 60 days of April 13, 2026.</w:t>
      </w:r>
    </w:p>
    <w:p>
      <w:pPr>
        <w:spacing w:after="0" w:line="1" w:lineRule="exact"/>
        <w:rPr>
          <w:rFonts w:ascii="Times New Roman" w:cs="Times New Roman" w:eastAsia="Times New Roman" w:hAnsi="Times New Roman"/>
          <w:sz w:val="18"/>
          <w:szCs w:val="18"/>
          <w:color w:val="auto"/>
        </w:rPr>
      </w:pPr>
    </w:p>
    <w:p>
      <w:pPr>
        <w:jc w:val="both"/>
        <w:ind w:left="360" w:right="220" w:hanging="353"/>
        <w:spacing w:after="0" w:line="262" w:lineRule="auto"/>
        <w:tabs>
          <w:tab w:leader="none" w:pos="3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executive officers and directors as a group, consists of an aggregate of (i) 7,542,775 shares held, (ii) options to purchase 2,710,461 shares of our common stock exercisable within 60 days of April 13, 2026, (iii) stock awards of 189,000 vesting within 60 days of April 13, 2026, and</w:t>
      </w:r>
    </w:p>
    <w:p>
      <w:pPr>
        <w:ind w:left="660" w:hanging="306"/>
        <w:spacing w:after="0"/>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2,116,250 shares exercisable pursuant to the Auerbach Warrant.</w:t>
      </w:r>
    </w:p>
    <w:p>
      <w:pPr>
        <w:spacing w:after="0" w:line="6" w:lineRule="exact"/>
        <w:rPr>
          <w:rFonts w:ascii="Times New Roman" w:cs="Times New Roman" w:eastAsia="Times New Roman" w:hAnsi="Times New Roman"/>
          <w:sz w:val="18"/>
          <w:szCs w:val="18"/>
          <w:color w:val="auto"/>
        </w:rPr>
      </w:pPr>
    </w:p>
    <w:p>
      <w:pPr>
        <w:ind w:left="360" w:right="60" w:hanging="353"/>
        <w:spacing w:after="0" w:line="247"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reported is based on a Schedule 13G/A filed on February 14, 2025 reporting ownership as of December 31, 2024. Anders Hove, manager of Acorn Capital Advisors GP, LLC, the sole general partner of Acorn Bioventures, L.P., and Acorn Capital Advisors GP 2, LLC, the sole general partner of Acorn Bioventures 2, L.P., reports shared voting and dispositive power with respect to 3,940,052 shares of our common stock, which consists of (i) 1,654,823 shares of our common stock for which Acorn Bioventures, L.P. and Acorn Capital Advisors GP, LLC each report shared voting and dispositive power and (ii) 2,285,229 shares of our common stock for which Acorn Bioventures 2 L.P. and Acorn Capital Advisors GP 2, LLC each report shared voting and dispositive power. The address for these entities and this person is 420 Lexington Avenue, Suite 2626, New York, New York 10170.</w:t>
      </w:r>
    </w:p>
    <w:p>
      <w:pPr>
        <w:spacing w:after="0" w:line="3" w:lineRule="exact"/>
        <w:rPr>
          <w:rFonts w:ascii="Times New Roman" w:cs="Times New Roman" w:eastAsia="Times New Roman" w:hAnsi="Times New Roman"/>
          <w:sz w:val="18"/>
          <w:szCs w:val="18"/>
          <w:color w:val="auto"/>
        </w:rPr>
      </w:pPr>
    </w:p>
    <w:p>
      <w:pPr>
        <w:ind w:left="360" w:right="40" w:hanging="353"/>
        <w:spacing w:after="0" w:line="251"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reported is based on a Schedule 13G filed on April 17, 2025, reporting ownership as of March 31, 2025, BlackRock, Inc. (“BlackRock”) reports sole dispositive power with respect to 2,779,452 shares of our common stock and sole voting power as to 2,744,079 shares of our common stock. The address for BlackRock is 50 Hudson Yards, New York, NY 10001.</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00" w:lineRule="exact"/>
        <w:rPr>
          <w:sz w:val="20"/>
          <w:szCs w:val="20"/>
          <w:color w:val="auto"/>
        </w:rPr>
      </w:pP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Set forth below is information regarding each of our executive officers as of April 13, 2026, the record date.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0"/>
                <w:szCs w:val="20"/>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0"/>
                <w:szCs w:val="20"/>
                <w:color w:val="auto"/>
              </w:rPr>
            </w:pPr>
          </w:p>
        </w:tc>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7"/>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H. Auerbach</w:t>
            </w:r>
          </w:p>
        </w:tc>
        <w:tc>
          <w:tcPr>
            <w:tcW w:w="780" w:type="dxa"/>
            <w:vAlign w:val="bottom"/>
            <w:gridSpan w:val="2"/>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9"/>
              </w:rPr>
              <w:t>56</w:t>
            </w:r>
          </w:p>
        </w:tc>
        <w:tc>
          <w:tcPr>
            <w:tcW w:w="200" w:type="dxa"/>
            <w:vAlign w:val="bottom"/>
            <w:shd w:val="clear" w:color="auto" w:fill="CCEEFF"/>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w:t>
            </w:r>
          </w:p>
        </w:tc>
      </w:tr>
      <w:tr>
        <w:trPr>
          <w:trHeight w:val="21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Maximo F. Nougues</w:t>
            </w:r>
          </w:p>
        </w:tc>
        <w:tc>
          <w:tcPr>
            <w:tcW w:w="78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auto"/>
                <w:w w:val="99"/>
              </w:rPr>
              <w:t>57</w:t>
            </w:r>
          </w:p>
        </w:tc>
        <w:tc>
          <w:tcPr>
            <w:tcW w:w="2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3"/>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Hunt, B.Sc. (Hons)</w:t>
            </w:r>
          </w:p>
        </w:tc>
        <w:tc>
          <w:tcPr>
            <w:tcW w:w="780" w:type="dxa"/>
            <w:vAlign w:val="bottom"/>
            <w:gridSpan w:val="2"/>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9"/>
              </w:rPr>
              <w:t>61</w:t>
            </w:r>
          </w:p>
        </w:tc>
        <w:tc>
          <w:tcPr>
            <w:tcW w:w="20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Regulatory Affairs, Medical Affairs and Pharmacovigilance Officer</w:t>
            </w:r>
          </w:p>
        </w:tc>
      </w:tr>
    </w:tbl>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Alan H. Auerbach</w:t>
      </w:r>
      <w:r>
        <w:rPr>
          <w:rFonts w:ascii="Times New Roman" w:cs="Times New Roman" w:eastAsia="Times New Roman" w:hAnsi="Times New Roman"/>
          <w:sz w:val="18"/>
          <w:szCs w:val="18"/>
          <w:color w:val="auto"/>
        </w:rPr>
        <w:t>. See “Director Biographical Information” above. Jeff Ludwig served as our Chief Commercial Officer until May 8, 2025.</w:t>
      </w:r>
    </w:p>
    <w:p>
      <w:pPr>
        <w:spacing w:after="0" w:line="220" w:lineRule="exact"/>
        <w:rPr>
          <w:sz w:val="20"/>
          <w:szCs w:val="20"/>
          <w:color w:val="auto"/>
        </w:rPr>
      </w:pPr>
    </w:p>
    <w:p>
      <w:pPr>
        <w:ind w:firstLine="427"/>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Maximo F. Nougues. </w:t>
      </w:r>
      <w:r>
        <w:rPr>
          <w:rFonts w:ascii="Times New Roman" w:cs="Times New Roman" w:eastAsia="Times New Roman" w:hAnsi="Times New Roman"/>
          <w:sz w:val="18"/>
          <w:szCs w:val="18"/>
          <w:color w:val="auto"/>
        </w:rPr>
        <w:t>Mr. Nougues joined the Company as Chief Financial Officer in November 2018. Prior to joining the Company, Mr. Nougues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in various positions at Getinge AB, a global medical device company based in Sweden, from January 2008 until October 2018. At Getinge, he held several leadership positions with oversight for the business that generated regional revenues of approximately $1 billion annually. During his tenure at Getinge, he served as Regional Chief Financial Officer for North America, Regional Chief Financial Officer for the Americas and Regional Vice President of Finance. Mr. Nougues also served as Chief Financial Officer for MAQUET North America, which was acquired by Getinge in 2000. Prior to joining Getinge, Mr. Nougues worked in finance roles in Boston Scientific’s cardiac surgery division, which was acquired by Getinge in 2008, and at The Clorox Company from 1998 until 2007. Mr. Nougues holds an M.S. in business administration from the Universidad del Norte Santo Tomas de Aquino, Tucuman, Argentina and an M.B.A. from the University of San Francisco McLaren School of Business.</w:t>
      </w:r>
    </w:p>
    <w:p>
      <w:pPr>
        <w:spacing w:after="0" w:line="183" w:lineRule="exact"/>
        <w:rPr>
          <w:sz w:val="20"/>
          <w:szCs w:val="20"/>
          <w:color w:val="auto"/>
        </w:rPr>
      </w:pPr>
    </w:p>
    <w:p>
      <w:pPr>
        <w:ind w:right="140" w:firstLine="427"/>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Douglas Hunt B.Sc. (Hons) </w:t>
      </w:r>
      <w:r>
        <w:rPr>
          <w:rFonts w:ascii="Times New Roman" w:cs="Times New Roman" w:eastAsia="Times New Roman" w:hAnsi="Times New Roman"/>
          <w:sz w:val="17"/>
          <w:szCs w:val="17"/>
          <w:color w:val="auto"/>
        </w:rPr>
        <w:t>Mr. Hunt has served as our Chief Regulatory Affairs, Medical Affairs, and Pharmacovigilance Officer since April 2024.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Mr. Hunt commenced employment in January 2018 as Senior Vice President, Regulatory Affairs and has been responsible for various operations of the Company during his tenure, including Pharmacovigilance since 2023, Medical Affairs since 2022, and Law from 2020 to 2025. Previously, Mr. Hunt also oversaw the Company’s Medical Writing and Project Management. Mr. Hunt has over 25 years of regulatory affairs experience and was a regulatory affairs consultant to the Company from February 2017 to January 2018. Mr. Hunt previously served as Vice President Regulatory Affairs and Quality Assurance at ArmaGen, Inc., a private biotechnology company, from March 2015 until December 2017 and Vice President, Global Regulatory Affairs (Bioscience) at Baxter International Inc., a public healthcare company, from March 2008 March 2015 where he was responsible for global regulatory affairs for several franchises including oncology. Prior to his role at Baxter Bioscience, Mr. Hunt worked for Amgen, a multinational biopharmaceutical company, from June 2000 to March 2008 in various positions, including as Executive Director, Therapeutic Area Head (Oncology) and Executive Director, Therapeutic Area Head (Bone/Oncology), Global Regulatory Affairs and Safety. Mr. Hunt received a B.Sc. (Hons) from Portsmouth University.</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224" w:lineRule="exact"/>
        <w:rPr>
          <w:sz w:val="20"/>
          <w:szCs w:val="20"/>
          <w:color w:val="auto"/>
        </w:rPr>
      </w:pPr>
    </w:p>
    <w:p>
      <w:pPr>
        <w:ind w:right="680" w:firstLine="427"/>
        <w:spacing w:after="0" w:line="277" w:lineRule="auto"/>
        <w:rPr>
          <w:sz w:val="20"/>
          <w:szCs w:val="20"/>
          <w:color w:val="auto"/>
        </w:rPr>
      </w:pPr>
      <w:r>
        <w:rPr>
          <w:rFonts w:ascii="Times New Roman" w:cs="Times New Roman" w:eastAsia="Times New Roman" w:hAnsi="Times New Roman"/>
          <w:sz w:val="18"/>
          <w:szCs w:val="18"/>
          <w:color w:val="auto"/>
        </w:rPr>
        <w:t>This Compensation Discussion and Analysis describes our executive compensation programs for our “Named Executive Officers” who served during the 2025 fiscal year, who were:</w:t>
      </w:r>
    </w:p>
    <w:p>
      <w:pPr>
        <w:spacing w:after="0" w:line="216" w:lineRule="exact"/>
        <w:rPr>
          <w:sz w:val="20"/>
          <w:szCs w:val="20"/>
          <w:color w:val="auto"/>
        </w:rPr>
      </w:pPr>
    </w:p>
    <w:p>
      <w:pPr>
        <w:ind w:left="460" w:hanging="144"/>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Alan H. Auerbach, our President and Chief Executive Officer;</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Maximo F. Nougues, our Chief Financial Officer;</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 J. Ludwig, our former Chief Commercial Officer; and</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Hunt, B.Sc. (Hons), our Chief Regulatory Affairs, Medical Affairs, and Pharmacovigilance Officer</w:t>
      </w:r>
    </w:p>
    <w:p>
      <w:pPr>
        <w:spacing w:after="0" w:line="2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May 8, 2025, Mr. Ludwig was terminated from the Company without cause.</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220" w:lineRule="exact"/>
        <w:rPr>
          <w:sz w:val="20"/>
          <w:szCs w:val="20"/>
          <w:color w:val="auto"/>
        </w:rPr>
      </w:pPr>
    </w:p>
    <w:p>
      <w:pPr>
        <w:ind w:left="460" w:right="20" w:hanging="144"/>
        <w:spacing w:after="0" w:line="251"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2025 Financial Performance</w:t>
      </w:r>
      <w:r>
        <w:rPr>
          <w:rFonts w:ascii="Times New Roman" w:cs="Times New Roman" w:eastAsia="Times New Roman" w:hAnsi="Times New Roman"/>
          <w:sz w:val="18"/>
          <w:szCs w:val="18"/>
          <w:color w:val="auto"/>
        </w:rPr>
        <w:t>. Product revenue for the year ended December 31, 2025 increased to approximately $204.1 million,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$195.2 million for the year ended December 31, 2024, due primarily to a 5.5% increase in bottles of NERLYNX sold, partially offset with a higher gross to net reserve related primarily to government chargebacks and payor mix. Royalty revenue for the year-ended December 31, 2025, decreased to approximately $24.3 million, compared to approximately $35.3 million for the year-ended December 31, 2024, primarily related to an anticipated decrease in sales by our sub-licensees into China, resulting in a decline in total revenue of $2.1 year over year to $228.4 million for 2025. Our net income improved slightly in 2025, with net income for the year ended December 31, 2025 increasing to approximately $31.1 million, or basic net income per share of $0.62 and diluted net income per share of $0.61, compared to net income of $30.3 million, or basic and diluted net income per share of $0.62, for the year ended December 31, 2024. At December 31, 2025, the closing market price of our common stock was $5.95 per share, compared to $3.05 per share at December 31, 2024.</w:t>
      </w:r>
    </w:p>
    <w:p>
      <w:pPr>
        <w:sectPr>
          <w:pgSz w:w="11900" w:h="16838" w:orient="portrait"/>
          <w:cols w:equalWidth="0" w:num="1">
            <w:col w:w="11240"/>
          </w:cols>
          <w:pgMar w:left="320" w:top="121" w:right="3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The following table summarizes our financial results over the years ended December 31, 2025, 2024 and 2023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in thousands except share and per share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center"/>
              <w:ind w:left="651"/>
              <w:spacing w:after="0"/>
              <w:rPr>
                <w:sz w:val="20"/>
                <w:szCs w:val="20"/>
                <w:color w:val="auto"/>
              </w:rPr>
            </w:pPr>
            <w:r>
              <w:rPr>
                <w:rFonts w:ascii="Times New Roman" w:cs="Times New Roman" w:eastAsia="Times New Roman" w:hAnsi="Times New Roman"/>
                <w:sz w:val="18"/>
                <w:szCs w:val="18"/>
                <w:color w:val="auto"/>
                <w:w w:val="97"/>
              </w:rPr>
              <w:t>For the 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7"/>
        </w:trPr>
        <w:tc>
          <w:tcPr>
            <w:tcW w:w="4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i w:val="1"/>
                <w:iCs w:val="1"/>
                <w:color w:val="auto"/>
              </w:rPr>
              <w:t>2023</w:t>
            </w:r>
          </w:p>
        </w:tc>
        <w:tc>
          <w:tcPr>
            <w:tcW w:w="100" w:type="dxa"/>
            <w:vAlign w:val="bottom"/>
          </w:tcPr>
          <w:p>
            <w:pPr>
              <w:spacing w:after="0"/>
              <w:rPr>
                <w:sz w:val="17"/>
                <w:szCs w:val="17"/>
                <w:color w:val="auto"/>
              </w:rPr>
            </w:pPr>
          </w:p>
        </w:tc>
      </w:tr>
      <w:tr>
        <w:trPr>
          <w:trHeight w:val="207"/>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204,074</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195,186</w:t>
            </w:r>
          </w:p>
        </w:tc>
        <w:tc>
          <w:tcPr>
            <w:tcW w:w="4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203,107</w:t>
            </w:r>
          </w:p>
        </w:tc>
      </w:tr>
      <w:tr>
        <w:trPr>
          <w:trHeight w:val="21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Royalty revenue</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24,297</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35,282</w:t>
            </w:r>
          </w:p>
        </w:tc>
        <w:tc>
          <w:tcPr>
            <w:tcW w:w="40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32,530</w:t>
            </w:r>
          </w:p>
        </w:tc>
      </w:tr>
      <w:tr>
        <w:trPr>
          <w:trHeight w:val="20"/>
        </w:trPr>
        <w:tc>
          <w:tcPr>
            <w:tcW w:w="4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228,371</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230,468</w:t>
            </w:r>
          </w:p>
        </w:tc>
        <w:tc>
          <w:tcPr>
            <w:tcW w:w="4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235,637</w:t>
            </w:r>
          </w:p>
        </w:tc>
      </w:tr>
      <w:tr>
        <w:trPr>
          <w:trHeight w:val="20"/>
        </w:trPr>
        <w:tc>
          <w:tcPr>
            <w:tcW w:w="490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37,299</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30,966</w:t>
            </w:r>
          </w:p>
        </w:tc>
        <w:tc>
          <w:tcPr>
            <w:tcW w:w="40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32,640</w:t>
            </w:r>
          </w:p>
        </w:tc>
      </w:tr>
      <w:tr>
        <w:trPr>
          <w:trHeight w:val="21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31,111</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30,278</w:t>
            </w:r>
          </w:p>
        </w:tc>
        <w:tc>
          <w:tcPr>
            <w:tcW w:w="4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21,591</w:t>
            </w:r>
          </w:p>
        </w:tc>
      </w:tr>
      <w:tr>
        <w:trPr>
          <w:trHeight w:val="213"/>
        </w:trPr>
        <w:tc>
          <w:tcPr>
            <w:tcW w:w="4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applicable to common stockholders</w:t>
            </w: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31,111</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30,278</w:t>
            </w:r>
          </w:p>
        </w:tc>
        <w:tc>
          <w:tcPr>
            <w:tcW w:w="4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21,591</w:t>
            </w:r>
          </w:p>
        </w:tc>
      </w:tr>
      <w:tr>
        <w:trPr>
          <w:trHeight w:val="21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of common stock—basic</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0.62</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0.62</w:t>
            </w:r>
          </w:p>
        </w:tc>
        <w:tc>
          <w:tcPr>
            <w:tcW w:w="40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0.46</w:t>
            </w:r>
          </w:p>
        </w:tc>
      </w:tr>
      <w:tr>
        <w:trPr>
          <w:trHeight w:val="21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of common stock—diluted</w:t>
            </w: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0.61</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0.62</w:t>
            </w:r>
          </w:p>
        </w:tc>
        <w:tc>
          <w:tcPr>
            <w:tcW w:w="4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0.45</w:t>
            </w:r>
          </w:p>
        </w:tc>
      </w:tr>
    </w:tbl>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2025 Executive Compensation Highlights</w:t>
      </w:r>
    </w:p>
    <w:p>
      <w:pPr>
        <w:spacing w:after="0" w:line="224" w:lineRule="exact"/>
        <w:rPr>
          <w:sz w:val="20"/>
          <w:szCs w:val="20"/>
          <w:color w:val="auto"/>
        </w:rPr>
      </w:pPr>
    </w:p>
    <w:p>
      <w:pPr>
        <w:ind w:left="460" w:right="20" w:hanging="144"/>
        <w:spacing w:after="0" w:line="262"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philosophy is designed to align the interests of our executive officers with those of our stockholders by providing pay that is directly linked to the achievement of performance goals established to foster the creation of sustainable long-term stockholder value and year-over-year improvement.</w:t>
      </w:r>
    </w:p>
    <w:p>
      <w:pPr>
        <w:spacing w:after="0" w:line="172" w:lineRule="exact"/>
        <w:rPr>
          <w:rFonts w:ascii="Times New Roman" w:cs="Times New Roman" w:eastAsia="Times New Roman" w:hAnsi="Times New Roman"/>
          <w:sz w:val="18"/>
          <w:szCs w:val="18"/>
          <w:color w:val="auto"/>
        </w:rPr>
      </w:pPr>
    </w:p>
    <w:p>
      <w:pPr>
        <w:ind w:left="460" w:hanging="144"/>
        <w:spacing w:after="0" w:line="268" w:lineRule="auto"/>
        <w:tabs>
          <w:tab w:leader="none" w:pos="4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Achievement of 2025 Corporate Performance Goals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Above Target Payout for Annual Short-Term Incentive Compensation Program . </w:t>
      </w:r>
      <w:r>
        <w:rPr>
          <w:rFonts w:ascii="Times New Roman" w:cs="Times New Roman" w:eastAsia="Times New Roman" w:hAnsi="Times New Roman"/>
          <w:sz w:val="17"/>
          <w:szCs w:val="17"/>
          <w:color w:val="auto"/>
        </w:rPr>
        <w:t>The portion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our 2025 annual short-term incentive compensation program for our Named Executive Officers, which was based on pre-established corporate performance goals approved by our Compensation Committee related to total bottles of NERLYNX sold, royalty revenue, cash management, alisertib 4201 enrollment and alisertib 1201 enrollment, which resulted in an overall 169.7% weighted attainment of the corporate performance portion of each Named Executive Officer’s target annual short-term incentive compensation award opportunity (the “target bonus opportunity”). The financial goals were based on the Board-approved budget for 2025, which reflected amongst many factors, US demand expectations at the beginning of the year and was inclusive of the required quarterly principal payments on our debt that commenced in 2024. In 2025, we grew U.S. demand for the first time in over six years, increased investments in our clinical programs while growing our net income from operations compared to 2024. Also, our debt balance was reduced by $44.5 million. On the clinical side, our trials enrolled patients faster than forecasted as a result of optimized clinical execution.</w:t>
      </w:r>
    </w:p>
    <w:p>
      <w:pPr>
        <w:spacing w:after="0" w:line="174" w:lineRule="exact"/>
        <w:rPr>
          <w:rFonts w:ascii="Times New Roman" w:cs="Times New Roman" w:eastAsia="Times New Roman" w:hAnsi="Times New Roman"/>
          <w:sz w:val="17"/>
          <w:szCs w:val="17"/>
          <w:color w:val="auto"/>
        </w:rPr>
      </w:pPr>
    </w:p>
    <w:p>
      <w:pPr>
        <w:ind w:left="460" w:right="220"/>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Auerbach’s bonus opportunity was based 100% on our corporate performance and, therefore his 2025 annual short-term incentive compensation award was equal to 169.7% of his target bonus opportunity. For our other Named Executive Officers, after taking into account the Compensation Committee’s assessment of each executive’s individual performance and the performance of the operations for which the executive was responsible, which represent 50% of target bonus opportunity, the 2025 annual short-term incentive compensation awards for Messrs. Nougues and Hunt</w:t>
      </w:r>
    </w:p>
    <w:p>
      <w:pPr>
        <w:spacing w:after="0" w:line="3" w:lineRule="exact"/>
        <w:rPr>
          <w:rFonts w:ascii="Times New Roman" w:cs="Times New Roman" w:eastAsia="Times New Roman" w:hAnsi="Times New Roman"/>
          <w:sz w:val="17"/>
          <w:szCs w:val="17"/>
          <w:color w:val="auto"/>
        </w:rPr>
      </w:pPr>
    </w:p>
    <w:p>
      <w:pPr>
        <w:ind w:left="460" w:right="10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were 142.85% and 147.35%, respectively, of each executive’s target bonus opportunity, based on individual performance assessed at 116% and 125%, respectively. Target bonus opportunities as a percentage of base salary are 65% for our Chief Executive Officer and 40% for our other Named Executive Officers, reflecting approximate market median percentages among our peer group.</w:t>
      </w:r>
    </w:p>
    <w:p>
      <w:pPr>
        <w:spacing w:after="0" w:line="181" w:lineRule="exact"/>
        <w:rPr>
          <w:rFonts w:ascii="Times New Roman" w:cs="Times New Roman" w:eastAsia="Times New Roman" w:hAnsi="Times New Roman"/>
          <w:sz w:val="17"/>
          <w:szCs w:val="17"/>
          <w:color w:val="auto"/>
        </w:rPr>
      </w:pPr>
    </w:p>
    <w:p>
      <w:pPr>
        <w:ind w:left="460" w:right="80" w:hanging="144"/>
        <w:spacing w:after="0" w:line="235"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Reduced 2025 Equity Award Values Based on 2024 Company Performance and Competitive Market Analysis</w:t>
      </w:r>
      <w:r>
        <w:rPr>
          <w:rFonts w:ascii="Times New Roman" w:cs="Times New Roman" w:eastAsia="Times New Roman" w:hAnsi="Times New Roman"/>
          <w:sz w:val="18"/>
          <w:szCs w:val="18"/>
          <w:color w:val="auto"/>
        </w:rPr>
        <w:t>. The equity awards granted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Named Executive Officers, other than Mr. Ludwig, for 2025 were significantly lower than the 2024 award grant values. Mr. Ludwig’s 2025 equity award value was higher than in 2024 due to his performance in 2025. The Compensation Committee’s general approach in determining annual equity grant value is based on the market median equity award value granted by our peer group for the similar position modified by our actual performance measured against the corporate performance goals for our prior year's annual short-term incentive compensation program. In addition, the impact on value vested per year as a result of our shorter six-month vesting periods over two years, which results in greater than median equity award value granted, is taken into consideration. Thus, in 2025 the primary factors that impacted the value of long-term equity-based incentive awards granted was our 159.7% performance against corporate goals for 2024 under our annual short-term incentive compensation program and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long-term equity values of our 2025 peer group, which decreased from the long-term equity values of our 2024 peer group, and the number of shares subject to awards granted in 2024 as well as the available shares under our 2011 Plan.</w:t>
      </w:r>
    </w:p>
    <w:p>
      <w:pPr>
        <w:spacing w:after="0" w:line="198" w:lineRule="exact"/>
        <w:rPr>
          <w:sz w:val="20"/>
          <w:szCs w:val="20"/>
          <w:color w:val="auto"/>
        </w:rPr>
      </w:pPr>
    </w:p>
    <w:tbl>
      <w:tblPr>
        <w:tblLayout w:type="fixed"/>
        <w:tblInd w:w="1920" w:type="dxa"/>
        <w:tblCellMar>
          <w:top w:w="0" w:type="dxa"/>
          <w:left w:w="0" w:type="dxa"/>
          <w:bottom w:w="0" w:type="dxa"/>
          <w:right w:w="0" w:type="dxa"/>
        </w:tblCellMar>
      </w:tblPr>
      <w:tr>
        <w:trPr>
          <w:trHeight w:val="213"/>
        </w:trPr>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70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2024 Aggregate Values</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2025 Aggregate Values</w:t>
            </w:r>
          </w:p>
        </w:tc>
        <w:tc>
          <w:tcPr>
            <w:tcW w:w="0" w:type="dxa"/>
            <w:vAlign w:val="bottom"/>
          </w:tcPr>
          <w:p>
            <w:pPr>
              <w:spacing w:after="0"/>
              <w:rPr>
                <w:sz w:val="1"/>
                <w:szCs w:val="1"/>
                <w:color w:val="auto"/>
              </w:rPr>
            </w:pPr>
          </w:p>
        </w:tc>
      </w:tr>
      <w:tr>
        <w:trPr>
          <w:trHeight w:val="130"/>
        </w:trPr>
        <w:tc>
          <w:tcPr>
            <w:tcW w:w="2740" w:type="dxa"/>
            <w:vAlign w:val="bottom"/>
            <w:vMerge w:val="continue"/>
          </w:tcPr>
          <w:p>
            <w:pPr>
              <w:spacing w:after="0"/>
              <w:rPr>
                <w:sz w:val="11"/>
                <w:szCs w:val="11"/>
                <w:color w:val="auto"/>
              </w:rPr>
            </w:pPr>
          </w:p>
        </w:tc>
        <w:tc>
          <w:tcPr>
            <w:tcW w:w="2700" w:type="dxa"/>
            <w:vAlign w:val="bottom"/>
            <w:vMerge w:val="restart"/>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Approved ($)</w:t>
            </w: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Approved ($)</w:t>
            </w:r>
          </w:p>
        </w:tc>
        <w:tc>
          <w:tcPr>
            <w:tcW w:w="0" w:type="dxa"/>
            <w:vAlign w:val="bottom"/>
          </w:tcPr>
          <w:p>
            <w:pPr>
              <w:spacing w:after="0"/>
              <w:rPr>
                <w:sz w:val="1"/>
                <w:szCs w:val="1"/>
                <w:color w:val="auto"/>
              </w:rPr>
            </w:pPr>
          </w:p>
        </w:tc>
      </w:tr>
      <w:tr>
        <w:trPr>
          <w:trHeight w:val="106"/>
        </w:trPr>
        <w:tc>
          <w:tcPr>
            <w:tcW w:w="2740" w:type="dxa"/>
            <w:vAlign w:val="bottom"/>
          </w:tcPr>
          <w:p>
            <w:pPr>
              <w:spacing w:after="0"/>
              <w:rPr>
                <w:sz w:val="9"/>
                <w:szCs w:val="9"/>
                <w:color w:val="auto"/>
              </w:rPr>
            </w:pPr>
          </w:p>
        </w:tc>
        <w:tc>
          <w:tcPr>
            <w:tcW w:w="2700" w:type="dxa"/>
            <w:vAlign w:val="bottom"/>
            <w:vMerge w:val="continue"/>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H. Auerbach</w:t>
            </w:r>
          </w:p>
        </w:tc>
        <w:tc>
          <w:tcPr>
            <w:tcW w:w="2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1,700,300</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Maximo F. Nougues</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J. Ludwig</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Douglas Hunt, B.Sc. (Hons)</w:t>
            </w: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385,000</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300,300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80" w:firstLine="427"/>
        <w:spacing w:after="0" w:line="262" w:lineRule="auto"/>
        <w:rPr>
          <w:sz w:val="20"/>
          <w:szCs w:val="20"/>
          <w:color w:val="auto"/>
        </w:rPr>
      </w:pPr>
      <w:r>
        <w:rPr>
          <w:rFonts w:ascii="Times New Roman" w:cs="Times New Roman" w:eastAsia="Times New Roman" w:hAnsi="Times New Roman"/>
          <w:sz w:val="18"/>
          <w:szCs w:val="18"/>
          <w:color w:val="auto"/>
        </w:rPr>
        <w:t>For 2025, the Compensation Committee continued its historical practice of employing a 30-calendar day average stock price of $3.12 used in calculating the number of equity awards granted based on the value approved, which for 2025 resulted in a lower reported grant date fair value of the awards in the Summary Compensation Table based on the closing stock price on the date of grant of $2.78.</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Advisory Vote on Named Executive Officer Compensation and Shareholder Engagement</w:t>
      </w:r>
    </w:p>
    <w:p>
      <w:pPr>
        <w:spacing w:after="0" w:line="224" w:lineRule="exact"/>
        <w:rPr>
          <w:sz w:val="20"/>
          <w:szCs w:val="20"/>
          <w:color w:val="auto"/>
        </w:rPr>
      </w:pPr>
    </w:p>
    <w:p>
      <w:pPr>
        <w:ind w:left="140" w:right="80" w:firstLine="427"/>
        <w:spacing w:after="0" w:line="257" w:lineRule="auto"/>
        <w:rPr>
          <w:sz w:val="20"/>
          <w:szCs w:val="20"/>
          <w:color w:val="auto"/>
        </w:rPr>
      </w:pPr>
      <w:r>
        <w:rPr>
          <w:rFonts w:ascii="Times New Roman" w:cs="Times New Roman" w:eastAsia="Times New Roman" w:hAnsi="Times New Roman"/>
          <w:sz w:val="18"/>
          <w:szCs w:val="18"/>
          <w:color w:val="auto"/>
        </w:rPr>
        <w:t>At our 2025 annual meeting of stockholders, approximately 95% of the votes cast by our stockholders approved, on an advisory (non-binding) basis, the compensation of our Named Executive Officers, which we believe affirms our stockholders' support for our executive compensation program. Accordingly, our Compensation Committee did not make any changes to our executive compensation program as a result of the say-on-pay vote. We currently expect our next say-on-pay vote (following the vote on Proposal 3 at this annual meeting) will be held at our 2027 annual meeting.</w:t>
      </w:r>
    </w:p>
    <w:p>
      <w:pPr>
        <w:sectPr>
          <w:pgSz w:w="11900" w:h="16838" w:orient="portrait"/>
          <w:cols w:equalWidth="0" w:num="1">
            <w:col w:w="11240"/>
          </w:cols>
          <w:pgMar w:left="320" w:top="121" w:right="339" w:bottom="494"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494"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left="140" w:right="60" w:firstLine="427"/>
        <w:spacing w:after="0" w:line="257" w:lineRule="auto"/>
        <w:rPr>
          <w:sz w:val="20"/>
          <w:szCs w:val="20"/>
          <w:color w:val="auto"/>
        </w:rPr>
      </w:pPr>
      <w:r>
        <w:rPr>
          <w:rFonts w:ascii="Times New Roman" w:cs="Times New Roman" w:eastAsia="Times New Roman" w:hAnsi="Times New Roman"/>
          <w:sz w:val="18"/>
          <w:szCs w:val="18"/>
          <w:color w:val="auto"/>
        </w:rPr>
        <w:t>We value the opinions of our stockholders on our executive compensation programs. In evaluating the design of our executive compensation, the Compensation Committee considers stockholder input, which we solicit annually through direct outreach with our large investors and through our annual advisory say-on-pay vote. In 2025, we gathered feedback from our stockholders on topics including our compensation program, board composition, board expertise and over-boarding.</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 Realized Compensation</w:t>
      </w:r>
    </w:p>
    <w:p>
      <w:pPr>
        <w:spacing w:after="0" w:line="224" w:lineRule="exact"/>
        <w:rPr>
          <w:sz w:val="20"/>
          <w:szCs w:val="20"/>
          <w:color w:val="auto"/>
        </w:rPr>
      </w:pPr>
    </w:p>
    <w:p>
      <w:pPr>
        <w:ind w:left="140" w:right="360" w:firstLine="427"/>
        <w:spacing w:after="0" w:line="257" w:lineRule="auto"/>
        <w:rPr>
          <w:sz w:val="20"/>
          <w:szCs w:val="20"/>
          <w:color w:val="auto"/>
        </w:rPr>
      </w:pPr>
      <w:r>
        <w:rPr>
          <w:rFonts w:ascii="Times New Roman" w:cs="Times New Roman" w:eastAsia="Times New Roman" w:hAnsi="Times New Roman"/>
          <w:sz w:val="18"/>
          <w:szCs w:val="18"/>
          <w:color w:val="auto"/>
        </w:rPr>
        <w:t>The following graph compares (i) the total direct compensation values reported in the 2025 Summary Compensation Table for Mr. Auerbach for 2024 and 2025 and (ii) his total direct compensation realized for each year. This graph demonstrates that Mr. Auerbach’s total direct compensation realized is less than the Summary Compensation Table-reported values for both 2024 and 2025, and that the compensation reported in the Summary Compensation Table overstates Mr. Auerbach’s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126365</wp:posOffset>
            </wp:positionV>
            <wp:extent cx="5092065" cy="32791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92065" cy="3279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40" w:hanging="233"/>
        <w:spacing w:after="0" w:line="277" w:lineRule="auto"/>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graph, total direct compensation realized includes Mr. Auerbach’s base salary and benefits and other perquisites, short-term incentive compensation for the applicable year, the value of any RSUs that vested, and any stock options exercised in the applicable year.</w:t>
      </w:r>
    </w:p>
    <w:p>
      <w:pPr>
        <w:spacing w:after="0" w:line="163" w:lineRule="exact"/>
        <w:rPr>
          <w:sz w:val="20"/>
          <w:szCs w:val="20"/>
          <w:color w:val="auto"/>
        </w:rPr>
      </w:pPr>
    </w:p>
    <w:p>
      <w:pPr>
        <w:jc w:val="both"/>
        <w:ind w:right="260" w:firstLine="427"/>
        <w:spacing w:after="0" w:line="262" w:lineRule="auto"/>
        <w:rPr>
          <w:sz w:val="20"/>
          <w:szCs w:val="20"/>
          <w:color w:val="auto"/>
        </w:rPr>
      </w:pPr>
      <w:r>
        <w:rPr>
          <w:rFonts w:ascii="Times New Roman" w:cs="Times New Roman" w:eastAsia="Times New Roman" w:hAnsi="Times New Roman"/>
          <w:sz w:val="18"/>
          <w:szCs w:val="18"/>
          <w:color w:val="auto"/>
        </w:rPr>
        <w:t>At December 31, 2024 and 2025, the closing market price of our common stock was $3.05 and $5.95 per share, respectively (the last trading day of each fiscal year). Outstanding stock options held by our Named Executive Officers that had exercise prices above the applicable year-end closing market price and were therefore out-of-the-money as of December 31, 2024 and 2025 were 2,403,084 shares and 1,335,616, respectively.</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Compensation Principles and Objectives</w:t>
      </w:r>
    </w:p>
    <w:p>
      <w:pPr>
        <w:spacing w:after="0" w:line="224" w:lineRule="exact"/>
        <w:rPr>
          <w:sz w:val="20"/>
          <w:szCs w:val="20"/>
          <w:color w:val="auto"/>
        </w:rPr>
      </w:pPr>
    </w:p>
    <w:p>
      <w:pPr>
        <w:ind w:right="20" w:firstLine="427"/>
        <w:spacing w:after="0" w:line="254" w:lineRule="auto"/>
        <w:rPr>
          <w:sz w:val="20"/>
          <w:szCs w:val="20"/>
          <w:color w:val="auto"/>
        </w:rPr>
      </w:pPr>
      <w:r>
        <w:rPr>
          <w:rFonts w:ascii="Times New Roman" w:cs="Times New Roman" w:eastAsia="Times New Roman" w:hAnsi="Times New Roman"/>
          <w:sz w:val="18"/>
          <w:szCs w:val="18"/>
          <w:color w:val="auto"/>
        </w:rPr>
        <w:t>Our executive compensation program is structured to attract, motivate and retain highly qualified executives by paying them competitively, consistent with our success and their contribution to that success. Our ability to excel depends on the skill, creativity, integrity and teamwork of our employees. Given the long product development cycles in our business, we believe compensation should be structured to ensure that a portion of each executive officer’s target total direct compensation opportunity will be related to factors that directly and indirectly influence long-term stockholder value creation. Our compensation philosophy has been driven by a number of factors that are closely linked with our broader strategic objectives.</w:t>
      </w:r>
    </w:p>
    <w:p>
      <w:pPr>
        <w:spacing w:after="0" w:line="186" w:lineRule="exact"/>
        <w:rPr>
          <w:sz w:val="20"/>
          <w:szCs w:val="20"/>
          <w:color w:val="auto"/>
        </w:rPr>
      </w:pPr>
    </w:p>
    <w:p>
      <w:pPr>
        <w:jc w:val="both"/>
        <w:ind w:right="240" w:firstLine="427"/>
        <w:spacing w:after="0" w:line="262" w:lineRule="auto"/>
        <w:rPr>
          <w:sz w:val="20"/>
          <w:szCs w:val="20"/>
          <w:color w:val="auto"/>
        </w:rPr>
      </w:pPr>
      <w:r>
        <w:rPr>
          <w:rFonts w:ascii="Times New Roman" w:cs="Times New Roman" w:eastAsia="Times New Roman" w:hAnsi="Times New Roman"/>
          <w:sz w:val="18"/>
          <w:szCs w:val="18"/>
          <w:color w:val="auto"/>
        </w:rPr>
        <w:t>The Compensation Committee believes that the compensation offered to our Named Executive Officers should be aligned with our performance on both a short-term and long-term basis, linked to results intended to create value for stockholders, and that such compensation should assist us in attracting and retaining key executives critical to our long-term success.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establishing compensation for executive officers, the Compensation Committee’s objectives are as follows:</w:t>
      </w:r>
    </w:p>
    <w:p>
      <w:pPr>
        <w:spacing w:after="0" w:line="273" w:lineRule="exact"/>
        <w:rPr>
          <w:sz w:val="20"/>
          <w:szCs w:val="20"/>
          <w:color w:val="auto"/>
        </w:rPr>
      </w:pPr>
    </w:p>
    <w:p>
      <w:pPr>
        <w:ind w:left="460" w:right="340" w:hanging="144"/>
        <w:spacing w:after="0" w:line="262"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 officer and stockholder interests by providing a portion of the target total direct compensation opportunities for senior management, including the Named Executive Officers, in the form of equity awards and short-term incentive compensation awarded based on the Compensation Committee’s review of Company and individual performance;</w:t>
      </w:r>
    </w:p>
    <w:p>
      <w:pPr>
        <w:spacing w:after="0" w:line="69" w:lineRule="exact"/>
        <w:rPr>
          <w:rFonts w:ascii="Times New Roman" w:cs="Times New Roman" w:eastAsia="Times New Roman" w:hAnsi="Times New Roman"/>
          <w:sz w:val="18"/>
          <w:szCs w:val="18"/>
          <w:color w:val="auto"/>
        </w:rPr>
      </w:pPr>
    </w:p>
    <w:p>
      <w:pPr>
        <w:ind w:left="460" w:right="260" w:hanging="144"/>
        <w:spacing w:after="0" w:line="262"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executive officer compensation is competitive within the marketplace in which we compete for executive talent by relying on the Compensation Committee’s judgment, expertise and personal experience with other similar companies, recognizing that because of the Company’s business model and relatively early stage of development, there may be few directly comparable companies; and</w:t>
      </w:r>
    </w:p>
    <w:p>
      <w:pPr>
        <w:spacing w:after="0" w:line="69" w:lineRule="exact"/>
        <w:rPr>
          <w:rFonts w:ascii="Times New Roman" w:cs="Times New Roman" w:eastAsia="Times New Roman" w:hAnsi="Times New Roman"/>
          <w:sz w:val="18"/>
          <w:szCs w:val="18"/>
          <w:color w:val="auto"/>
        </w:rPr>
      </w:pPr>
    </w:p>
    <w:p>
      <w:pPr>
        <w:ind w:left="460" w:right="20" w:hanging="144"/>
        <w:spacing w:after="0" w:line="277"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that the best compensation practices for a growing company may be substantially different than for a larger, more mature company and that we should make full use of our greater latitude and breadth of compensation opportunities.</w:t>
      </w:r>
    </w:p>
    <w:p>
      <w:pPr>
        <w:sectPr>
          <w:pgSz w:w="11900" w:h="16838" w:orient="portrait"/>
          <w:cols w:equalWidth="0" w:num="1">
            <w:col w:w="11180"/>
          </w:cols>
          <w:pgMar w:left="320" w:top="121" w:right="399" w:bottom="828" w:gutter="0" w:footer="0" w:header="0"/>
        </w:sect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121" w:right="399" w:bottom="828"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Sound Governance and Compensation Practices</w:t>
      </w:r>
    </w:p>
    <w:p>
      <w:pPr>
        <w:spacing w:after="0" w:line="224" w:lineRule="exact"/>
        <w:rPr>
          <w:sz w:val="20"/>
          <w:szCs w:val="20"/>
          <w:color w:val="auto"/>
        </w:rPr>
      </w:pPr>
    </w:p>
    <w:p>
      <w:pPr>
        <w:ind w:right="40" w:firstLine="427"/>
        <w:spacing w:after="0" w:line="254" w:lineRule="auto"/>
        <w:rPr>
          <w:sz w:val="20"/>
          <w:szCs w:val="20"/>
          <w:color w:val="auto"/>
        </w:rPr>
      </w:pPr>
      <w:r>
        <w:rPr>
          <w:rFonts w:ascii="Times New Roman" w:cs="Times New Roman" w:eastAsia="Times New Roman" w:hAnsi="Times New Roman"/>
          <w:sz w:val="18"/>
          <w:szCs w:val="18"/>
          <w:color w:val="auto"/>
        </w:rPr>
        <w:t>We endeavor to maintain sound governance standards consistent with our executive compensation policies and practices. The Compensation Committee evaluates our executive compensation program on a regular basis to ensure that it is consistent with our short-term and long-term goals given the dynamic nature of our business and the market in which we compete for executive talent. Our compensation philosophy and related corporate governance policies and practices are complemented by the following specific compensation practices that are designed to align our executive compensation program with long-term stockholder interests:</w:t>
      </w:r>
    </w:p>
    <w:p>
      <w:pPr>
        <w:spacing w:after="0" w:line="182" w:lineRule="exact"/>
        <w:rPr>
          <w:sz w:val="20"/>
          <w:szCs w:val="20"/>
          <w:color w:val="auto"/>
        </w:rPr>
      </w:pPr>
    </w:p>
    <w:p>
      <w:pPr>
        <w:ind w:left="2480"/>
        <w:spacing w:after="0"/>
        <w:tabs>
          <w:tab w:leader="none" w:pos="7220" w:val="left"/>
        </w:tabs>
        <w:rPr>
          <w:sz w:val="20"/>
          <w:szCs w:val="20"/>
          <w:color w:val="auto"/>
        </w:rPr>
      </w:pPr>
      <w:r>
        <w:rPr>
          <w:rFonts w:ascii="Times New Roman" w:cs="Times New Roman" w:eastAsia="Times New Roman" w:hAnsi="Times New Roman"/>
          <w:sz w:val="18"/>
          <w:szCs w:val="18"/>
          <w:b w:val="1"/>
          <w:bCs w:val="1"/>
          <w:color w:val="auto"/>
        </w:rPr>
        <w:t>What We Do</w:t>
      </w:r>
      <w:r>
        <w:rPr>
          <w:sz w:val="20"/>
          <w:szCs w:val="20"/>
          <w:color w:val="auto"/>
        </w:rPr>
        <w:tab/>
      </w:r>
      <w:r>
        <w:rPr>
          <w:rFonts w:ascii="Times New Roman" w:cs="Times New Roman" w:eastAsia="Times New Roman" w:hAnsi="Times New Roman"/>
          <w:sz w:val="17"/>
          <w:szCs w:val="17"/>
          <w:b w:val="1"/>
          <w:bCs w:val="1"/>
          <w:color w:val="auto"/>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18415</wp:posOffset>
            </wp:positionV>
            <wp:extent cx="641350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13500" cy="2540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880" w:hanging="306"/>
        <w:spacing w:after="0" w:line="255" w:lineRule="auto"/>
        <w:tabs>
          <w:tab w:leader="none" w:pos="880" w:val="left"/>
        </w:tabs>
        <w:numPr>
          <w:ilvl w:val="0"/>
          <w:numId w:val="25"/>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Multi-Year Vesting</w:t>
      </w:r>
      <w:r>
        <w:rPr>
          <w:rFonts w:ascii="Times New Roman" w:cs="Times New Roman" w:eastAsia="Times New Roman" w:hAnsi="Times New Roman"/>
          <w:sz w:val="18"/>
          <w:szCs w:val="18"/>
          <w:color w:val="auto"/>
        </w:rPr>
        <w:t>. The equity awards granted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generally vest over multi-year periods, which we believe is consistent with current market practice, our retention objectives and our pay for performance philosophy.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ind w:left="310" w:right="540" w:hanging="310"/>
        <w:spacing w:after="0" w:line="278" w:lineRule="auto"/>
        <w:tabs>
          <w:tab w:leader="none" w:pos="310" w:val="left"/>
        </w:tabs>
        <w:numPr>
          <w:ilvl w:val="0"/>
          <w:numId w:val="26"/>
        </w:numPr>
        <w:rPr>
          <w:rFonts w:ascii="MS PGothic" w:cs="MS PGothic" w:eastAsia="MS PGothic" w:hAnsi="MS PGothic"/>
          <w:sz w:val="17"/>
          <w:szCs w:val="17"/>
          <w:color w:val="auto"/>
        </w:rPr>
      </w:pPr>
      <w:r>
        <w:rPr>
          <w:rFonts w:ascii="Times New Roman" w:cs="Times New Roman" w:eastAsia="Times New Roman" w:hAnsi="Times New Roman"/>
          <w:sz w:val="17"/>
          <w:szCs w:val="17"/>
          <w:i w:val="1"/>
          <w:iCs w:val="1"/>
          <w:color w:val="auto"/>
        </w:rPr>
        <w:t xml:space="preserve">No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Single-Trigger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Arrangements. </w:t>
      </w:r>
      <w:r>
        <w:rPr>
          <w:rFonts w:ascii="Times New Roman" w:cs="Times New Roman" w:eastAsia="Times New Roman" w:hAnsi="Times New Roman"/>
          <w:sz w:val="17"/>
          <w:szCs w:val="17"/>
          <w:color w:val="auto"/>
        </w:rPr>
        <w:t>We offer no “single-trigger” cash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severance, equity acceleration or other arrangements in connection with a change in control; instead, payments and benefits require a qualifying termination of employment in connection with the change in control.</w:t>
      </w:r>
    </w:p>
    <w:p>
      <w:pPr>
        <w:spacing w:after="0" w:line="374" w:lineRule="exact"/>
        <w:rPr>
          <w:sz w:val="20"/>
          <w:szCs w:val="20"/>
          <w:color w:val="auto"/>
        </w:rPr>
      </w:pPr>
    </w:p>
    <w:p>
      <w:pPr>
        <w:sectPr>
          <w:pgSz w:w="11900" w:h="16838" w:orient="portrait"/>
          <w:cols w:equalWidth="0" w:num="2">
            <w:col w:w="5140" w:space="90"/>
            <w:col w:w="5950"/>
          </w:cols>
          <w:pgMar w:left="320" w:top="121" w:right="399" w:bottom="1440" w:gutter="0" w:footer="0" w:header="0"/>
          <w:type w:val="continuous"/>
        </w:sectPr>
      </w:pPr>
    </w:p>
    <w:p>
      <w:pPr>
        <w:ind w:left="880" w:right="40" w:hanging="306"/>
        <w:spacing w:after="0" w:line="279" w:lineRule="auto"/>
        <w:tabs>
          <w:tab w:leader="none" w:pos="88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Stock Ownership Guidelines. </w:t>
      </w:r>
      <w:r>
        <w:rPr>
          <w:rFonts w:ascii="Times New Roman" w:cs="Times New Roman" w:eastAsia="Times New Roman" w:hAnsi="Times New Roman"/>
          <w:sz w:val="18"/>
          <w:szCs w:val="18"/>
          <w:color w:val="auto"/>
        </w:rPr>
        <w:t>We maintain stock ownership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guidelines for our executive officers.</w:t>
      </w:r>
    </w:p>
    <w:p>
      <w:pPr>
        <w:spacing w:after="0" w:line="372" w:lineRule="exact"/>
        <w:rPr>
          <w:rFonts w:ascii="MS PGothic" w:cs="MS PGothic" w:eastAsia="MS PGothic" w:hAnsi="MS PGothic"/>
          <w:sz w:val="18"/>
          <w:szCs w:val="18"/>
          <w:color w:val="auto"/>
        </w:rPr>
      </w:pPr>
    </w:p>
    <w:p>
      <w:pPr>
        <w:ind w:left="880" w:right="40" w:hanging="306"/>
        <w:spacing w:after="0" w:line="286" w:lineRule="auto"/>
        <w:tabs>
          <w:tab w:leader="none" w:pos="880" w:val="left"/>
        </w:tabs>
        <w:numPr>
          <w:ilvl w:val="0"/>
          <w:numId w:val="27"/>
        </w:numPr>
        <w:rPr>
          <w:rFonts w:ascii="MS PGothic" w:cs="MS PGothic" w:eastAsia="MS PGothic" w:hAnsi="MS PGothic"/>
          <w:sz w:val="17"/>
          <w:szCs w:val="17"/>
          <w:color w:val="auto"/>
        </w:rPr>
      </w:pPr>
      <w:r>
        <w:rPr>
          <w:rFonts w:ascii="Times New Roman" w:cs="Times New Roman" w:eastAsia="Times New Roman" w:hAnsi="Times New Roman"/>
          <w:sz w:val="17"/>
          <w:szCs w:val="17"/>
          <w:i w:val="1"/>
          <w:iCs w:val="1"/>
          <w:color w:val="auto"/>
        </w:rPr>
        <w:t xml:space="preserve">Clawback Policy. </w:t>
      </w:r>
      <w:r>
        <w:rPr>
          <w:rFonts w:ascii="Times New Roman" w:cs="Times New Roman" w:eastAsia="Times New Roman" w:hAnsi="Times New Roman"/>
          <w:sz w:val="17"/>
          <w:szCs w:val="17"/>
          <w:color w:val="auto"/>
        </w:rPr>
        <w:t>We maintain a clawback policy to recoup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erroneously paid cash and equity compensation from our executive officers in the event of a financial restatement.</w:t>
      </w:r>
    </w:p>
    <w:p>
      <w:pPr>
        <w:spacing w:after="0" w:line="155" w:lineRule="exact"/>
        <w:rPr>
          <w:rFonts w:ascii="MS PGothic" w:cs="MS PGothic" w:eastAsia="MS PGothic" w:hAnsi="MS PGothic"/>
          <w:sz w:val="17"/>
          <w:szCs w:val="17"/>
          <w:color w:val="auto"/>
        </w:rPr>
      </w:pPr>
    </w:p>
    <w:p>
      <w:pPr>
        <w:ind w:left="880" w:hanging="306"/>
        <w:spacing w:after="0" w:line="258" w:lineRule="auto"/>
        <w:tabs>
          <w:tab w:leader="none" w:pos="88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Long-Term Incentive Awards. </w:t>
      </w:r>
      <w:r>
        <w:rPr>
          <w:rFonts w:ascii="Times New Roman" w:cs="Times New Roman" w:eastAsia="Times New Roman" w:hAnsi="Times New Roman"/>
          <w:sz w:val="18"/>
          <w:szCs w:val="18"/>
          <w:color w:val="auto"/>
        </w:rPr>
        <w:t>The majority of our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compensation is granted in the form of long-term equity awards, which we believe aligns their interests with those of our stockholders.</w:t>
      </w:r>
    </w:p>
    <w:p>
      <w:pPr>
        <w:spacing w:after="0" w:line="177" w:lineRule="exact"/>
        <w:rPr>
          <w:rFonts w:ascii="MS PGothic" w:cs="MS PGothic" w:eastAsia="MS PGothic" w:hAnsi="MS PGothic"/>
          <w:sz w:val="18"/>
          <w:szCs w:val="18"/>
          <w:color w:val="auto"/>
        </w:rPr>
      </w:pPr>
    </w:p>
    <w:p>
      <w:pPr>
        <w:ind w:left="880" w:right="60" w:hanging="306"/>
        <w:spacing w:after="0" w:line="258" w:lineRule="auto"/>
        <w:tabs>
          <w:tab w:leader="none" w:pos="880"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Limited Perquisites. </w:t>
      </w:r>
      <w:r>
        <w:rPr>
          <w:rFonts w:ascii="Times New Roman" w:cs="Times New Roman" w:eastAsia="Times New Roman" w:hAnsi="Times New Roman"/>
          <w:sz w:val="18"/>
          <w:szCs w:val="18"/>
          <w:color w:val="auto"/>
        </w:rPr>
        <w:t>We provide only limited perquisites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personal benefits to our executive officers, such as Company-paid long-term disability insurance and annual physicals.</w:t>
      </w:r>
    </w:p>
    <w:p>
      <w:pPr>
        <w:spacing w:after="0" w:line="20" w:lineRule="exact"/>
        <w:rPr>
          <w:sz w:val="20"/>
          <w:szCs w:val="20"/>
          <w:color w:val="auto"/>
        </w:rPr>
      </w:pPr>
      <w:r>
        <w:rPr>
          <w:sz w:val="20"/>
          <w:szCs w:val="20"/>
          <w:color w:val="auto"/>
        </w:rPr>
        <w:br w:type="column"/>
      </w:r>
    </w:p>
    <w:p>
      <w:pPr>
        <w:ind w:left="310" w:right="640" w:hanging="310"/>
        <w:spacing w:after="0" w:line="263" w:lineRule="auto"/>
        <w:tabs>
          <w:tab w:leader="none" w:pos="310" w:val="left"/>
        </w:tabs>
        <w:numPr>
          <w:ilvl w:val="0"/>
          <w:numId w:val="28"/>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No Repricing without Stockholder Approval. </w:t>
      </w:r>
      <w:r>
        <w:rPr>
          <w:rFonts w:ascii="Times New Roman" w:cs="Times New Roman" w:eastAsia="Times New Roman" w:hAnsi="Times New Roman"/>
          <w:sz w:val="18"/>
          <w:szCs w:val="18"/>
          <w:color w:val="auto"/>
        </w:rPr>
        <w:t>Our equity plan prohibits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repricing of out-of-the-money stock options to a lower exercise price without approval of our stockholders.</w:t>
      </w:r>
    </w:p>
    <w:p>
      <w:pPr>
        <w:spacing w:after="0" w:line="173" w:lineRule="exact"/>
        <w:rPr>
          <w:rFonts w:ascii="MS PGothic" w:cs="MS PGothic" w:eastAsia="MS PGothic" w:hAnsi="MS PGothic"/>
          <w:sz w:val="18"/>
          <w:szCs w:val="18"/>
          <w:color w:val="auto"/>
        </w:rPr>
      </w:pPr>
    </w:p>
    <w:p>
      <w:pPr>
        <w:ind w:left="310" w:right="540" w:hanging="310"/>
        <w:spacing w:after="0" w:line="263" w:lineRule="auto"/>
        <w:tabs>
          <w:tab w:leader="none" w:pos="310" w:val="left"/>
        </w:tabs>
        <w:numPr>
          <w:ilvl w:val="0"/>
          <w:numId w:val="28"/>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Hedging and Pledging Prohibited. </w:t>
      </w:r>
      <w:r>
        <w:rPr>
          <w:rFonts w:ascii="Times New Roman" w:cs="Times New Roman" w:eastAsia="Times New Roman" w:hAnsi="Times New Roman"/>
          <w:sz w:val="18"/>
          <w:szCs w:val="18"/>
          <w:color w:val="auto"/>
        </w:rPr>
        <w:t>We prohibit our executive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non-employee members of our Board from hedging or pledging our securities.</w:t>
      </w:r>
    </w:p>
    <w:p>
      <w:pPr>
        <w:spacing w:after="0" w:line="2307" w:lineRule="exact"/>
        <w:rPr>
          <w:sz w:val="20"/>
          <w:szCs w:val="20"/>
          <w:color w:val="auto"/>
        </w:rPr>
      </w:pPr>
    </w:p>
    <w:p>
      <w:pPr>
        <w:sectPr>
          <w:pgSz w:w="11900" w:h="16838" w:orient="portrait"/>
          <w:cols w:equalWidth="0" w:num="2">
            <w:col w:w="5140" w:space="90"/>
            <w:col w:w="5950"/>
          </w:cols>
          <w:pgMar w:left="320" w:top="121" w:right="399" w:bottom="1440" w:gutter="0" w:footer="0" w:header="0"/>
          <w:type w:val="continuous"/>
        </w:sectPr>
      </w:pPr>
    </w:p>
    <w:p>
      <w:pPr>
        <w:ind w:left="880" w:right="6100" w:hanging="306"/>
        <w:spacing w:after="0" w:line="309" w:lineRule="auto"/>
        <w:tabs>
          <w:tab w:leader="none" w:pos="880" w:val="left"/>
        </w:tabs>
        <w:numPr>
          <w:ilvl w:val="0"/>
          <w:numId w:val="29"/>
        </w:numPr>
        <w:rPr>
          <w:rFonts w:ascii="MS PGothic" w:cs="MS PGothic" w:eastAsia="MS PGothic" w:hAnsi="MS PGothic"/>
          <w:sz w:val="17"/>
          <w:szCs w:val="17"/>
          <w:color w:val="auto"/>
        </w:rPr>
      </w:pPr>
      <w:r>
        <w:rPr>
          <w:rFonts w:ascii="Times New Roman" w:cs="Times New Roman" w:eastAsia="Times New Roman" w:hAnsi="Times New Roman"/>
          <w:sz w:val="17"/>
          <w:szCs w:val="17"/>
          <w:i w:val="1"/>
          <w:iCs w:val="1"/>
          <w:color w:val="auto"/>
        </w:rPr>
        <w:t xml:space="preserve">Independent Compensation Committee. </w:t>
      </w:r>
      <w:r>
        <w:rPr>
          <w:rFonts w:ascii="Times New Roman" w:cs="Times New Roman" w:eastAsia="Times New Roman" w:hAnsi="Times New Roman"/>
          <w:sz w:val="17"/>
          <w:szCs w:val="17"/>
          <w:color w:val="auto"/>
        </w:rPr>
        <w:t>The Compensation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Committee is comprised solely of independent directors.</w:t>
      </w:r>
    </w:p>
    <w:p>
      <w:pPr>
        <w:spacing w:after="0" w:line="137" w:lineRule="exact"/>
        <w:rPr>
          <w:rFonts w:ascii="MS PGothic" w:cs="MS PGothic" w:eastAsia="MS PGothic" w:hAnsi="MS PGothic"/>
          <w:sz w:val="17"/>
          <w:szCs w:val="17"/>
          <w:color w:val="auto"/>
        </w:rPr>
      </w:pPr>
    </w:p>
    <w:p>
      <w:pPr>
        <w:ind w:left="880" w:right="5960" w:hanging="306"/>
        <w:spacing w:after="0" w:line="258" w:lineRule="auto"/>
        <w:tabs>
          <w:tab w:leader="none" w:pos="880" w:val="left"/>
        </w:tabs>
        <w:numPr>
          <w:ilvl w:val="0"/>
          <w:numId w:val="29"/>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 xml:space="preserve">Independent Compensation Advisor. </w:t>
      </w:r>
      <w:r>
        <w:rPr>
          <w:rFonts w:ascii="Times New Roman" w:cs="Times New Roman" w:eastAsia="Times New Roman" w:hAnsi="Times New Roman"/>
          <w:sz w:val="18"/>
          <w:szCs w:val="18"/>
          <w:color w:val="auto"/>
        </w:rPr>
        <w:t>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engages an independent compensation consultant to provide independent analysis, advice and guidance on executive compensation.</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Compensation-Setting Process</w:t>
      </w:r>
    </w:p>
    <w:p>
      <w:pPr>
        <w:spacing w:after="0" w:line="224" w:lineRule="exact"/>
        <w:rPr>
          <w:sz w:val="20"/>
          <w:szCs w:val="20"/>
          <w:color w:val="auto"/>
        </w:rPr>
      </w:pPr>
    </w:p>
    <w:p>
      <w:pPr>
        <w:ind w:right="180" w:firstLine="427"/>
        <w:spacing w:after="0" w:line="254" w:lineRule="auto"/>
        <w:rPr>
          <w:sz w:val="20"/>
          <w:szCs w:val="20"/>
          <w:color w:val="auto"/>
        </w:rPr>
      </w:pPr>
      <w:r>
        <w:rPr>
          <w:rFonts w:ascii="Times New Roman" w:cs="Times New Roman" w:eastAsia="Times New Roman" w:hAnsi="Times New Roman"/>
          <w:sz w:val="18"/>
          <w:szCs w:val="18"/>
          <w:color w:val="auto"/>
        </w:rPr>
        <w:t>As provided under its charter, the Compensation Committee is charged with the primary responsibility to determine the compensation of our Named Executive Officers. Based on its members’ collective understanding of the competitive market practices of similar companies in the biotechnology and pharmaceutical industry, and with reference to a competitive market analysis of relevant compensation data prepared by Compensia as well as the recommendations of the Chief Executive Officer, the Compensation Committee determines the target total direct compensation opportunity for each of the Named Executive Officers, including each of the following primary compensation elements:</w:t>
      </w:r>
    </w:p>
    <w:p>
      <w:pPr>
        <w:spacing w:after="0" w:line="239" w:lineRule="exact"/>
        <w:rPr>
          <w:sz w:val="20"/>
          <w:szCs w:val="20"/>
          <w:color w:val="auto"/>
        </w:rPr>
      </w:pPr>
    </w:p>
    <w:p>
      <w:pPr>
        <w:ind w:left="460" w:hanging="144"/>
        <w:spacing w:after="0"/>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fixed compensation for ongoing services throughout the year.</w:t>
      </w:r>
    </w:p>
    <w:p>
      <w:pPr>
        <w:spacing w:after="0" w:line="113" w:lineRule="exact"/>
        <w:rPr>
          <w:rFonts w:ascii="Times New Roman" w:cs="Times New Roman" w:eastAsia="Times New Roman" w:hAnsi="Times New Roman"/>
          <w:sz w:val="18"/>
          <w:szCs w:val="18"/>
          <w:color w:val="auto"/>
        </w:rPr>
      </w:pPr>
    </w:p>
    <w:p>
      <w:pPr>
        <w:ind w:left="460" w:right="60" w:hanging="144"/>
        <w:spacing w:after="0" w:line="277"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short-term incentive compensation awards: variable to recognize and reward achievement of short-term corporate and individual performance goals.</w:t>
      </w:r>
    </w:p>
    <w:p>
      <w:pPr>
        <w:spacing w:after="0" w:line="55" w:lineRule="exact"/>
        <w:rPr>
          <w:rFonts w:ascii="Times New Roman" w:cs="Times New Roman" w:eastAsia="Times New Roman" w:hAnsi="Times New Roman"/>
          <w:sz w:val="18"/>
          <w:szCs w:val="18"/>
          <w:color w:val="auto"/>
        </w:rPr>
      </w:pPr>
    </w:p>
    <w:p>
      <w:pPr>
        <w:ind w:left="460" w:right="240" w:hanging="144"/>
        <w:spacing w:after="0" w:line="277"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incentive awards: variable compensation to provide an incentive to our Named Executive Officers to successfully drive our long-term performance and to manage us from the perspective of an owner with an equity stake in the business.</w:t>
      </w:r>
    </w:p>
    <w:p>
      <w:pPr>
        <w:spacing w:after="0" w:line="55" w:lineRule="exact"/>
        <w:rPr>
          <w:rFonts w:ascii="Times New Roman" w:cs="Times New Roman" w:eastAsia="Times New Roman" w:hAnsi="Times New Roman"/>
          <w:sz w:val="18"/>
          <w:szCs w:val="18"/>
          <w:color w:val="auto"/>
        </w:rPr>
      </w:pPr>
    </w:p>
    <w:p>
      <w:pPr>
        <w:ind w:left="460" w:right="200" w:hanging="144"/>
        <w:spacing w:after="0" w:line="277"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data used for Compensia’s competitive market analysis is drawn from publicly available sources for the companies in our compensation peer group (updated as described below) and also from the Radford Global Life Science Survey.</w:t>
      </w:r>
    </w:p>
    <w:p>
      <w:pPr>
        <w:spacing w:after="0" w:line="216" w:lineRule="exact"/>
        <w:rPr>
          <w:sz w:val="20"/>
          <w:szCs w:val="20"/>
          <w:color w:val="auto"/>
        </w:rPr>
      </w:pPr>
    </w:p>
    <w:p>
      <w:pPr>
        <w:ind w:firstLine="427"/>
        <w:spacing w:after="0" w:line="254" w:lineRule="auto"/>
        <w:rPr>
          <w:sz w:val="20"/>
          <w:szCs w:val="20"/>
          <w:color w:val="auto"/>
        </w:rPr>
      </w:pPr>
      <w:r>
        <w:rPr>
          <w:rFonts w:ascii="Times New Roman" w:cs="Times New Roman" w:eastAsia="Times New Roman" w:hAnsi="Times New Roman"/>
          <w:sz w:val="18"/>
          <w:szCs w:val="18"/>
          <w:color w:val="auto"/>
        </w:rPr>
        <w:t>To aid the Compensation Committee in making its determination, our Chief Executive Officer provides recommendations annually to the Compensation Committee regarding the target total direct compensation opportunity and each individual compensation element for our executive officers (other than himself) based on his assessment of the overall corporate achievements during the prior year and his knowledge of the individual contributions to our success by each of the Named Executive Officers. The overall performance of our Named Executive Officers as a team is reviewed annually by the Compensation Committee.</w:t>
      </w:r>
    </w:p>
    <w:p>
      <w:pPr>
        <w:sectPr>
          <w:pgSz w:w="11900" w:h="16838" w:orient="portrait"/>
          <w:cols w:equalWidth="0" w:num="1">
            <w:col w:w="11180"/>
          </w:cols>
          <w:pgMar w:left="320" w:top="121" w:right="399" w:bottom="1440" w:gutter="0" w:footer="0" w:header="0"/>
          <w:type w:val="continuous"/>
        </w:sectPr>
      </w:pP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right="40" w:firstLine="427"/>
        <w:spacing w:after="0" w:line="257" w:lineRule="auto"/>
        <w:rPr>
          <w:sz w:val="20"/>
          <w:szCs w:val="20"/>
          <w:color w:val="auto"/>
        </w:rPr>
      </w:pPr>
      <w:r>
        <w:rPr>
          <w:rFonts w:ascii="Times New Roman" w:cs="Times New Roman" w:eastAsia="Times New Roman" w:hAnsi="Times New Roman"/>
          <w:sz w:val="18"/>
          <w:szCs w:val="18"/>
          <w:color w:val="auto"/>
        </w:rPr>
        <w:t>The Compensation Committee sets the annual base salary and annual short-term incentive compensation opportunities structures and any grants of stock options or RSUs based on its members’ collective understanding of compensation practices in the biotechnology and pharmaceutical industry and such members’ experiences as seasoned executives, consultants, board and compensation committee members, or investors in similar biotechnology and specialty pharmaceutical industry companies.</w:t>
      </w:r>
    </w:p>
    <w:p>
      <w:pPr>
        <w:spacing w:after="0" w:line="181" w:lineRule="exact"/>
        <w:rPr>
          <w:sz w:val="20"/>
          <w:szCs w:val="20"/>
          <w:color w:val="auto"/>
        </w:rPr>
      </w:pPr>
    </w:p>
    <w:p>
      <w:pPr>
        <w:ind w:right="180" w:firstLine="427"/>
        <w:spacing w:after="0" w:line="277" w:lineRule="auto"/>
        <w:rPr>
          <w:sz w:val="20"/>
          <w:szCs w:val="20"/>
          <w:color w:val="auto"/>
        </w:rPr>
      </w:pPr>
      <w:r>
        <w:rPr>
          <w:rFonts w:ascii="Times New Roman" w:cs="Times New Roman" w:eastAsia="Times New Roman" w:hAnsi="Times New Roman"/>
          <w:sz w:val="18"/>
          <w:szCs w:val="18"/>
          <w:color w:val="auto"/>
        </w:rPr>
        <w:t>The Compensation Committee reviewed and updated our compensation peer group, following an analysis of our peer group prepared by Compensia, for use as a reference when setting our 2025 executive compensation levels.</w:t>
      </w:r>
    </w:p>
    <w:p>
      <w:pPr>
        <w:spacing w:after="0" w:line="163" w:lineRule="exact"/>
        <w:rPr>
          <w:sz w:val="20"/>
          <w:szCs w:val="20"/>
          <w:color w:val="auto"/>
        </w:rPr>
      </w:pPr>
    </w:p>
    <w:p>
      <w:pPr>
        <w:ind w:right="20" w:firstLine="427"/>
        <w:spacing w:after="0" w:line="252" w:lineRule="auto"/>
        <w:rPr>
          <w:sz w:val="20"/>
          <w:szCs w:val="20"/>
          <w:color w:val="auto"/>
        </w:rPr>
      </w:pPr>
      <w:r>
        <w:rPr>
          <w:rFonts w:ascii="Times New Roman" w:cs="Times New Roman" w:eastAsia="Times New Roman" w:hAnsi="Times New Roman"/>
          <w:sz w:val="18"/>
          <w:szCs w:val="18"/>
          <w:color w:val="auto"/>
        </w:rPr>
        <w:t>The market data used for Compensia’s comparative analysis was drawn from publicly available sources and also from the Radford Global Life Science Survey. The 2025 peer group was developed with primary consideration given to companies with similar market capitalization to the 2024 peer group, and companies more similar to ours with respect to development phase, revenue, market capitalization and employee headcount. Based on the peer analysis performed by Compensia in November 2024 for the purpose of selecting our 2025 peer group, 6 companies were added to the 2025 peer group (as noted below) and the following 7 companies were removed: Alimera Sciences, Inc.; BioXcel Therapeutics, Inc.; Eagle Pharmaceuticals; Y-mAbs Therapeutics; Eiger BioPharmaceuticals, Inc.; G1 Therapeutics, Inc.; and Intercept Pharmaceuticals. In general, the removed peer companies no longer fit the selection criteria.</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developing a proposed compensation peer group, Compensia considered the following criteria:</w:t>
      </w:r>
    </w:p>
    <w:p>
      <w:pPr>
        <w:spacing w:after="0" w:line="273" w:lineRule="exact"/>
        <w:rPr>
          <w:sz w:val="20"/>
          <w:szCs w:val="20"/>
          <w:color w:val="auto"/>
        </w:rPr>
      </w:pPr>
    </w:p>
    <w:p>
      <w:pPr>
        <w:ind w:left="680" w:hanging="124"/>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biotechnology companies with a therapeutic focus and that are in a pipeline stage;</w:t>
      </w:r>
    </w:p>
    <w:p>
      <w:pPr>
        <w:spacing w:after="0" w:line="113" w:lineRule="exact"/>
        <w:rPr>
          <w:rFonts w:ascii="Times New Roman" w:cs="Times New Roman" w:eastAsia="Times New Roman" w:hAnsi="Times New Roman"/>
          <w:sz w:val="18"/>
          <w:szCs w:val="18"/>
          <w:color w:val="auto"/>
        </w:rPr>
      </w:pPr>
    </w:p>
    <w:p>
      <w:pPr>
        <w:ind w:left="680" w:right="960" w:hanging="124"/>
        <w:spacing w:after="0" w:line="307" w:lineRule="auto"/>
        <w:tabs>
          <w:tab w:leader="none" w:pos="6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companies with revenues ranging from $0 million to $297 million (with Puma revenues at $244 million or the 85</w:t>
      </w:r>
      <w:r>
        <w:rPr>
          <w:rFonts w:ascii="Times New Roman" w:cs="Times New Roman" w:eastAsia="Times New Roman" w:hAnsi="Times New Roman"/>
          <w:sz w:val="13"/>
          <w:szCs w:val="13"/>
          <w:color w:val="auto"/>
        </w:rPr>
        <w:t>th</w:t>
      </w:r>
      <w:r>
        <w:rPr>
          <w:rFonts w:ascii="Times New Roman" w:cs="Times New Roman" w:eastAsia="Times New Roman" w:hAnsi="Times New Roman"/>
          <w:sz w:val="17"/>
          <w:szCs w:val="17"/>
          <w:color w:val="auto"/>
        </w:rPr>
        <w:t xml:space="preserve"> percentile), market capitalization ranging from $27 million to $399 million (with Puma market capitalization at $146 million or the 28</w:t>
      </w:r>
      <w:r>
        <w:rPr>
          <w:rFonts w:ascii="Times New Roman" w:cs="Times New Roman" w:eastAsia="Times New Roman" w:hAnsi="Times New Roman"/>
          <w:sz w:val="13"/>
          <w:szCs w:val="13"/>
          <w:color w:val="auto"/>
        </w:rPr>
        <w:t>th</w:t>
      </w:r>
      <w:r>
        <w:rPr>
          <w:rFonts w:ascii="Times New Roman" w:cs="Times New Roman" w:eastAsia="Times New Roman" w:hAnsi="Times New Roman"/>
          <w:sz w:val="17"/>
          <w:szCs w:val="17"/>
          <w:color w:val="auto"/>
        </w:rPr>
        <w:t xml:space="preserve"> percentile); and</w:t>
      </w:r>
    </w:p>
    <w:p>
      <w:pPr>
        <w:spacing w:after="0" w:line="33" w:lineRule="exact"/>
        <w:rPr>
          <w:rFonts w:ascii="Times New Roman" w:cs="Times New Roman" w:eastAsia="Times New Roman" w:hAnsi="Times New Roman"/>
          <w:sz w:val="17"/>
          <w:szCs w:val="17"/>
          <w:color w:val="auto"/>
        </w:rPr>
      </w:pPr>
    </w:p>
    <w:p>
      <w:pPr>
        <w:ind w:left="680" w:right="20" w:hanging="124"/>
        <w:spacing w:after="0" w:line="277"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headquartered in the United States with other similar characteristics such as comparable one-year and three-year total shareholder return and employee headcount.</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believe these characteristics are relevant because their similarity captures the similarity in the labor market for executives.</w:t>
      </w:r>
    </w:p>
    <w:p>
      <w:pPr>
        <w:spacing w:after="0" w:line="220" w:lineRule="exact"/>
        <w:rPr>
          <w:sz w:val="20"/>
          <w:szCs w:val="20"/>
          <w:color w:val="auto"/>
        </w:rPr>
      </w:pPr>
    </w:p>
    <w:p>
      <w:pPr>
        <w:jc w:val="both"/>
        <w:ind w:firstLine="427"/>
        <w:spacing w:after="0" w:line="262" w:lineRule="auto"/>
        <w:rPr>
          <w:sz w:val="20"/>
          <w:szCs w:val="20"/>
          <w:color w:val="auto"/>
        </w:rPr>
      </w:pPr>
      <w:r>
        <w:rPr>
          <w:rFonts w:ascii="Times New Roman" w:cs="Times New Roman" w:eastAsia="Times New Roman" w:hAnsi="Times New Roman"/>
          <w:sz w:val="18"/>
          <w:szCs w:val="18"/>
          <w:color w:val="auto"/>
        </w:rPr>
        <w:t>In November 2024, the Compensation Committee reviewed and revised the composition of our peer group, employing an assessment of our peer group prepared by, and after consideration of the advice of, Compensia, for use as a reference when setting our 2025 executive compensation levels, resulting in the following 18 peer group companies (the “2025 peer group”):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Aclaris Therapeutics </w:t>
            </w:r>
            <w:r>
              <w:rPr>
                <w:rFonts w:ascii="Times New Roman" w:cs="Times New Roman" w:eastAsia="Times New Roman" w:hAnsi="Times New Roman"/>
                <w:sz w:val="14"/>
                <w:szCs w:val="14"/>
                <w:color w:val="auto"/>
              </w:rPr>
              <w:t>(1)</w:t>
            </w:r>
          </w:p>
        </w:tc>
        <w:tc>
          <w:tcPr>
            <w:tcW w:w="3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Heron Therapeutics</w:t>
            </w:r>
          </w:p>
        </w:tc>
        <w:tc>
          <w:tcPr>
            <w:tcW w:w="3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Rigel Pharmaceuticals</w:t>
            </w:r>
          </w:p>
        </w:tc>
      </w:tr>
      <w:tr>
        <w:trPr>
          <w:trHeight w:val="21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Agenus Inc.</w:t>
            </w:r>
          </w:p>
        </w:tc>
        <w:tc>
          <w:tcPr>
            <w:tcW w:w="378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 xml:space="preserve">Journey Medical </w:t>
            </w:r>
            <w:r>
              <w:rPr>
                <w:rFonts w:ascii="Times New Roman" w:cs="Times New Roman" w:eastAsia="Times New Roman" w:hAnsi="Times New Roman"/>
                <w:sz w:val="14"/>
                <w:szCs w:val="14"/>
                <w:color w:val="auto"/>
              </w:rPr>
              <w:t>(1)</w:t>
            </w:r>
          </w:p>
        </w:tc>
        <w:tc>
          <w:tcPr>
            <w:tcW w:w="3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scPharmaceuticals Inc.</w:t>
            </w:r>
          </w:p>
        </w:tc>
      </w:tr>
      <w:tr>
        <w:trPr>
          <w:trHeight w:val="21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Akebia Therapeutics</w:t>
            </w:r>
          </w:p>
        </w:tc>
        <w:tc>
          <w:tcPr>
            <w:tcW w:w="3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Karyopharm Therapeutics</w:t>
            </w:r>
          </w:p>
        </w:tc>
        <w:tc>
          <w:tcPr>
            <w:tcW w:w="3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Theravance Biopharma</w:t>
            </w:r>
          </w:p>
        </w:tc>
      </w:tr>
      <w:tr>
        <w:trPr>
          <w:trHeight w:val="21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Assertio Holdings, Inc.</w:t>
            </w:r>
          </w:p>
        </w:tc>
        <w:tc>
          <w:tcPr>
            <w:tcW w:w="3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MacroGenics, Inc.</w:t>
            </w:r>
          </w:p>
        </w:tc>
        <w:tc>
          <w:tcPr>
            <w:tcW w:w="30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7"/>
              </w:rPr>
              <w:t xml:space="preserve">Xeris Biopharma Holdings </w:t>
            </w:r>
            <w:r>
              <w:rPr>
                <w:rFonts w:ascii="Times New Roman" w:cs="Times New Roman" w:eastAsia="Times New Roman" w:hAnsi="Times New Roman"/>
                <w:sz w:val="14"/>
                <w:szCs w:val="14"/>
                <w:color w:val="auto"/>
                <w:w w:val="97"/>
              </w:rPr>
              <w:t>(1)</w:t>
            </w:r>
          </w:p>
        </w:tc>
      </w:tr>
      <w:tr>
        <w:trPr>
          <w:trHeight w:val="21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Coherus BioSciences </w:t>
            </w:r>
            <w:r>
              <w:rPr>
                <w:rFonts w:ascii="Times New Roman" w:cs="Times New Roman" w:eastAsia="Times New Roman" w:hAnsi="Times New Roman"/>
                <w:sz w:val="14"/>
                <w:szCs w:val="14"/>
                <w:color w:val="auto"/>
              </w:rPr>
              <w:t>(1)</w:t>
            </w:r>
          </w:p>
        </w:tc>
        <w:tc>
          <w:tcPr>
            <w:tcW w:w="3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Nektar Therapeutics</w:t>
            </w:r>
          </w:p>
        </w:tc>
        <w:tc>
          <w:tcPr>
            <w:tcW w:w="3020" w:type="dxa"/>
            <w:vAlign w:val="bottom"/>
          </w:tcPr>
          <w:p>
            <w:pPr>
              <w:spacing w:after="0"/>
              <w:rPr>
                <w:sz w:val="18"/>
                <w:szCs w:val="18"/>
                <w:color w:val="auto"/>
              </w:rPr>
            </w:pPr>
          </w:p>
        </w:tc>
      </w:tr>
      <w:tr>
        <w:trPr>
          <w:trHeight w:val="21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Esperion Therapeutics</w:t>
            </w:r>
          </w:p>
        </w:tc>
        <w:tc>
          <w:tcPr>
            <w:tcW w:w="37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OptiNose, Inc.</w:t>
            </w:r>
          </w:p>
        </w:tc>
        <w:tc>
          <w:tcPr>
            <w:tcW w:w="3020" w:type="dxa"/>
            <w:vAlign w:val="bottom"/>
          </w:tcPr>
          <w:p>
            <w:pPr>
              <w:spacing w:after="0"/>
              <w:rPr>
                <w:sz w:val="18"/>
                <w:szCs w:val="18"/>
                <w:color w:val="auto"/>
              </w:rPr>
            </w:pPr>
          </w:p>
        </w:tc>
      </w:tr>
      <w:tr>
        <w:trPr>
          <w:trHeight w:val="232"/>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Eton BioPharmaceuticals </w:t>
            </w:r>
            <w:r>
              <w:rPr>
                <w:rFonts w:ascii="Times New Roman" w:cs="Times New Roman" w:eastAsia="Times New Roman" w:hAnsi="Times New Roman"/>
                <w:sz w:val="14"/>
                <w:szCs w:val="14"/>
                <w:color w:val="auto"/>
              </w:rPr>
              <w:t>(1)</w:t>
            </w:r>
          </w:p>
        </w:tc>
        <w:tc>
          <w:tcPr>
            <w:tcW w:w="378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 xml:space="preserve">Organogenesis Holdings </w:t>
            </w:r>
            <w:r>
              <w:rPr>
                <w:rFonts w:ascii="Times New Roman" w:cs="Times New Roman" w:eastAsia="Times New Roman" w:hAnsi="Times New Roman"/>
                <w:sz w:val="14"/>
                <w:szCs w:val="14"/>
                <w:color w:val="auto"/>
              </w:rPr>
              <w:t>(1)</w:t>
            </w:r>
          </w:p>
        </w:tc>
        <w:tc>
          <w:tcPr>
            <w:tcW w:w="3020" w:type="dxa"/>
            <w:vAlign w:val="bottom"/>
          </w:tcPr>
          <w:p>
            <w:pPr>
              <w:spacing w:after="0"/>
              <w:rPr>
                <w:sz w:val="20"/>
                <w:szCs w:val="20"/>
                <w:color w:val="auto"/>
              </w:rPr>
            </w:pPr>
          </w:p>
        </w:tc>
      </w:tr>
    </w:tbl>
    <w:p>
      <w:pPr>
        <w:spacing w:after="0" w:line="194" w:lineRule="exact"/>
        <w:rPr>
          <w:sz w:val="20"/>
          <w:szCs w:val="20"/>
          <w:color w:val="auto"/>
        </w:rPr>
      </w:pPr>
    </w:p>
    <w:p>
      <w:pPr>
        <w:ind w:left="480" w:hanging="473"/>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company was added in 2025.</w:t>
      </w:r>
    </w:p>
    <w:p>
      <w:pPr>
        <w:spacing w:after="0" w:line="220" w:lineRule="exact"/>
        <w:rPr>
          <w:sz w:val="20"/>
          <w:szCs w:val="20"/>
          <w:color w:val="auto"/>
        </w:rPr>
      </w:pPr>
    </w:p>
    <w:p>
      <w:pPr>
        <w:jc w:val="both"/>
        <w:ind w:firstLine="427"/>
        <w:spacing w:after="0" w:line="262" w:lineRule="auto"/>
        <w:rPr>
          <w:sz w:val="20"/>
          <w:szCs w:val="20"/>
          <w:color w:val="auto"/>
        </w:rPr>
      </w:pPr>
      <w:r>
        <w:rPr>
          <w:rFonts w:ascii="Times New Roman" w:cs="Times New Roman" w:eastAsia="Times New Roman" w:hAnsi="Times New Roman"/>
          <w:sz w:val="18"/>
          <w:szCs w:val="18"/>
          <w:color w:val="auto"/>
        </w:rPr>
        <w:t>In November 2025, the Compensation Committee reviewed and revised the composition of our peer group, employing an assessment of our peer group prepared by, and after consideration of the advice of, Compensia, for use as a reference when setting our 2026 executive compensation levels, resulting in the following 16 peer group companies (the “2026 peer group”):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Aclaris Therapeutics</w:t>
            </w:r>
          </w:p>
        </w:tc>
        <w:tc>
          <w:tcPr>
            <w:tcW w:w="3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Heron Therapeutics</w:t>
            </w:r>
          </w:p>
        </w:tc>
        <w:tc>
          <w:tcPr>
            <w:tcW w:w="260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scPharmaceuticals Inc.</w:t>
            </w:r>
          </w:p>
        </w:tc>
      </w:tr>
      <w:tr>
        <w:trPr>
          <w:trHeight w:val="21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Agenus Inc.</w:t>
            </w:r>
          </w:p>
        </w:tc>
        <w:tc>
          <w:tcPr>
            <w:tcW w:w="3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Journey Medical</w:t>
            </w:r>
          </w:p>
        </w:tc>
        <w:tc>
          <w:tcPr>
            <w:tcW w:w="260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7"/>
              </w:rPr>
              <w:t>Theravance Biopharma</w:t>
            </w:r>
          </w:p>
        </w:tc>
      </w:tr>
      <w:tr>
        <w:trPr>
          <w:trHeight w:val="21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Akebia Therapeutics</w:t>
            </w:r>
          </w:p>
        </w:tc>
        <w:tc>
          <w:tcPr>
            <w:tcW w:w="3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Karyopharm Therapeutics</w:t>
            </w:r>
          </w:p>
        </w:tc>
        <w:tc>
          <w:tcPr>
            <w:tcW w:w="2600" w:type="dxa"/>
            <w:vAlign w:val="bottom"/>
          </w:tcPr>
          <w:p>
            <w:pPr>
              <w:spacing w:after="0"/>
              <w:rPr>
                <w:sz w:val="18"/>
                <w:szCs w:val="18"/>
                <w:color w:val="auto"/>
              </w:rPr>
            </w:pPr>
          </w:p>
        </w:tc>
      </w:tr>
      <w:tr>
        <w:trPr>
          <w:trHeight w:val="21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Assertio Holdings, Inc.</w:t>
            </w:r>
          </w:p>
        </w:tc>
        <w:tc>
          <w:tcPr>
            <w:tcW w:w="3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MacroGenics, Inc.</w:t>
            </w:r>
          </w:p>
        </w:tc>
        <w:tc>
          <w:tcPr>
            <w:tcW w:w="2600" w:type="dxa"/>
            <w:vAlign w:val="bottom"/>
          </w:tcPr>
          <w:p>
            <w:pPr>
              <w:spacing w:after="0"/>
              <w:rPr>
                <w:sz w:val="18"/>
                <w:szCs w:val="18"/>
                <w:color w:val="auto"/>
              </w:rPr>
            </w:pPr>
          </w:p>
        </w:tc>
      </w:tr>
      <w:tr>
        <w:trPr>
          <w:trHeight w:val="21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Coherus BioSciences</w:t>
            </w:r>
          </w:p>
        </w:tc>
        <w:tc>
          <w:tcPr>
            <w:tcW w:w="3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Nektar Therapeutics</w:t>
            </w:r>
          </w:p>
        </w:tc>
        <w:tc>
          <w:tcPr>
            <w:tcW w:w="2600" w:type="dxa"/>
            <w:vAlign w:val="bottom"/>
          </w:tcPr>
          <w:p>
            <w:pPr>
              <w:spacing w:after="0"/>
              <w:rPr>
                <w:sz w:val="18"/>
                <w:szCs w:val="18"/>
                <w:color w:val="auto"/>
              </w:rPr>
            </w:pPr>
          </w:p>
        </w:tc>
      </w:tr>
      <w:tr>
        <w:trPr>
          <w:trHeight w:val="213"/>
        </w:trPr>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Esperion Therapeutics</w:t>
            </w:r>
          </w:p>
        </w:tc>
        <w:tc>
          <w:tcPr>
            <w:tcW w:w="3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Organogenesis Holdings</w:t>
            </w:r>
          </w:p>
        </w:tc>
        <w:tc>
          <w:tcPr>
            <w:tcW w:w="2600" w:type="dxa"/>
            <w:vAlign w:val="bottom"/>
          </w:tcPr>
          <w:p>
            <w:pPr>
              <w:spacing w:after="0"/>
              <w:rPr>
                <w:sz w:val="18"/>
                <w:szCs w:val="18"/>
                <w:color w:val="auto"/>
              </w:rPr>
            </w:pPr>
          </w:p>
        </w:tc>
      </w:tr>
      <w:tr>
        <w:trPr>
          <w:trHeight w:val="232"/>
        </w:trPr>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Eton BioPharmaceuticals</w:t>
            </w:r>
          </w:p>
        </w:tc>
        <w:tc>
          <w:tcPr>
            <w:tcW w:w="3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Rigel Pharmaceuticals</w:t>
            </w:r>
          </w:p>
        </w:tc>
        <w:tc>
          <w:tcPr>
            <w:tcW w:w="2600" w:type="dxa"/>
            <w:vAlign w:val="bottom"/>
          </w:tcPr>
          <w:p>
            <w:pPr>
              <w:spacing w:after="0"/>
              <w:rPr>
                <w:sz w:val="20"/>
                <w:szCs w:val="20"/>
                <w:color w:val="auto"/>
              </w:rPr>
            </w:pPr>
          </w:p>
        </w:tc>
      </w:tr>
    </w:tbl>
    <w:p>
      <w:pPr>
        <w:spacing w:after="0" w:line="194" w:lineRule="exact"/>
        <w:rPr>
          <w:sz w:val="20"/>
          <w:szCs w:val="20"/>
          <w:color w:val="auto"/>
        </w:rPr>
      </w:pPr>
    </w:p>
    <w:p>
      <w:pPr>
        <w:ind w:right="20" w:firstLine="427"/>
        <w:spacing w:after="0" w:line="253" w:lineRule="auto"/>
        <w:rPr>
          <w:sz w:val="20"/>
          <w:szCs w:val="20"/>
          <w:color w:val="auto"/>
        </w:rPr>
      </w:pPr>
      <w:r>
        <w:rPr>
          <w:rFonts w:ascii="Times New Roman" w:cs="Times New Roman" w:eastAsia="Times New Roman" w:hAnsi="Times New Roman"/>
          <w:sz w:val="18"/>
          <w:szCs w:val="18"/>
          <w:color w:val="auto"/>
        </w:rPr>
        <w:t>The market data used for Compensia’s comparative analysis was drawn from publicly available sources and also from the Radford Global Life Science Survey. The 2026 peer group was developed with primary consideration given to companies with similar market capitalization to the 2025 peer group, and companies more similar to ours with respect to development phase, revenue, market capitalization and employee headcount. Based on the peer analysis performed by Compensia in November 2025 for the purpose of selecting our 2026 peer group, no company was added to the 2026 peer group and the following 2 companies were removed: OptiNose, Inc. and Xeris Biopharma Holdings. In general, the removed peer companies no longer fit the selection criteria, while the additions reflect companies with financial and industry characteristics more similar to our company.</w:t>
      </w:r>
    </w:p>
    <w:p>
      <w:pPr>
        <w:sectPr>
          <w:pgSz w:w="11900" w:h="16838" w:orient="portrait"/>
          <w:cols w:equalWidth="0" w:num="1">
            <w:col w:w="11200"/>
          </w:cols>
          <w:pgMar w:left="320" w:top="121" w:right="379" w:bottom="1440" w:gutter="0" w:footer="0" w:header="0"/>
        </w:sectPr>
      </w:pP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assessing our peer group, Compensia prepared for the Compensation Committee a peer group using the following criteria:</w:t>
      </w:r>
    </w:p>
    <w:p>
      <w:pPr>
        <w:spacing w:after="0" w:line="273" w:lineRule="exact"/>
        <w:rPr>
          <w:sz w:val="20"/>
          <w:szCs w:val="20"/>
          <w:color w:val="auto"/>
        </w:rPr>
      </w:pPr>
    </w:p>
    <w:p>
      <w:pPr>
        <w:ind w:left="680" w:hanging="124"/>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Biotechnology companies with a therapeutic focus and that are in a pipeline stage;</w:t>
      </w:r>
    </w:p>
    <w:p>
      <w:pPr>
        <w:spacing w:after="0" w:line="113" w:lineRule="exact"/>
        <w:rPr>
          <w:rFonts w:ascii="Times New Roman" w:cs="Times New Roman" w:eastAsia="Times New Roman" w:hAnsi="Times New Roman"/>
          <w:sz w:val="18"/>
          <w:szCs w:val="18"/>
          <w:color w:val="auto"/>
        </w:rPr>
      </w:pPr>
    </w:p>
    <w:p>
      <w:pPr>
        <w:ind w:left="680" w:right="100" w:hanging="124"/>
        <w:spacing w:after="0" w:line="277"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companies with revenues ranging from $17 to $430 million (with Puma revenues at $238 million or the 77</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percentile), market capitalization ranging from $57 million to $822 million (with Puma market capitalization at $244 million or the 47th percentile); and</w:t>
      </w:r>
    </w:p>
    <w:p>
      <w:pPr>
        <w:spacing w:after="0" w:line="55" w:lineRule="exact"/>
        <w:rPr>
          <w:rFonts w:ascii="Times New Roman" w:cs="Times New Roman" w:eastAsia="Times New Roman" w:hAnsi="Times New Roman"/>
          <w:sz w:val="18"/>
          <w:szCs w:val="18"/>
          <w:color w:val="auto"/>
        </w:rPr>
      </w:pPr>
    </w:p>
    <w:p>
      <w:pPr>
        <w:ind w:left="680" w:right="440" w:hanging="124"/>
        <w:spacing w:after="0" w:line="277"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companies headquartered in the United States and other similar characteristics such as revenue, market cap, one-year and three-year total shareholder return and employee headcount.</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believe these characteristics are relevant because their similarity captures the similarity in the labor market for executives.</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Elements of Executive Compensation</w:t>
      </w:r>
    </w:p>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Base Salaries</w:t>
      </w:r>
    </w:p>
    <w:p>
      <w:pPr>
        <w:spacing w:after="0" w:line="222" w:lineRule="exact"/>
        <w:rPr>
          <w:sz w:val="20"/>
          <w:szCs w:val="20"/>
          <w:color w:val="auto"/>
        </w:rPr>
      </w:pPr>
    </w:p>
    <w:p>
      <w:pPr>
        <w:ind w:right="100" w:firstLine="427"/>
        <w:spacing w:after="0" w:line="253" w:lineRule="auto"/>
        <w:rPr>
          <w:sz w:val="20"/>
          <w:szCs w:val="20"/>
          <w:color w:val="auto"/>
        </w:rPr>
      </w:pPr>
      <w:r>
        <w:rPr>
          <w:rFonts w:ascii="Times New Roman" w:cs="Times New Roman" w:eastAsia="Times New Roman" w:hAnsi="Times New Roman"/>
          <w:sz w:val="18"/>
          <w:szCs w:val="18"/>
          <w:color w:val="auto"/>
        </w:rPr>
        <w:t>Our Chief Executive Officer periodically reviews and recommends the base salaries in effect for each of our Named Executive Officers (other than for himself), and the Compensation Committee approves the base salary for each Named Executive Officer. Adjustments to base salaries are based on the scope of an executive’s responsibilities, individual contribution, experience, and sustained performance. Decisions regarding base salary increases may take into account the Named Executive Officer’s current salary, equity ownership and the amounts paid to individuals in comparable positions as reflected in the competitive market analysis prepared by Compensia. No formulaic base salary increases are provided to our Named Executive Officers. This strategy is consistent with our intent of offering compensation that is cost-effective, competitive and takes into account the executive’s performance.</w:t>
      </w:r>
    </w:p>
    <w:p>
      <w:pPr>
        <w:spacing w:after="0" w:line="185" w:lineRule="exact"/>
        <w:rPr>
          <w:sz w:val="20"/>
          <w:szCs w:val="20"/>
          <w:color w:val="auto"/>
        </w:rPr>
      </w:pPr>
    </w:p>
    <w:p>
      <w:pPr>
        <w:ind w:right="60" w:firstLine="427"/>
        <w:spacing w:after="0" w:line="262" w:lineRule="auto"/>
        <w:rPr>
          <w:sz w:val="20"/>
          <w:szCs w:val="20"/>
          <w:color w:val="auto"/>
        </w:rPr>
      </w:pPr>
      <w:r>
        <w:rPr>
          <w:rFonts w:ascii="Times New Roman" w:cs="Times New Roman" w:eastAsia="Times New Roman" w:hAnsi="Times New Roman"/>
          <w:sz w:val="18"/>
          <w:szCs w:val="18"/>
          <w:color w:val="auto"/>
        </w:rPr>
        <w:t>Effective January 1, 2025, the Compensation Committee approved base salary increases of approximately 3% for Mr. Auerbach, approximately 4% for Mr. Nougues, approximately 2% for Mr. Ludwig, and approximately 9% for Mr. Hunt due to his increase in management responsibilities in the clinical organization during 2024.</w:t>
      </w:r>
    </w:p>
    <w:p>
      <w:pPr>
        <w:spacing w:after="0" w:line="176" w:lineRule="exact"/>
        <w:rPr>
          <w:sz w:val="20"/>
          <w:szCs w:val="20"/>
          <w:color w:val="auto"/>
        </w:rPr>
      </w:pPr>
    </w:p>
    <w:p>
      <w:pPr>
        <w:ind w:right="60" w:firstLine="427"/>
        <w:spacing w:after="0" w:line="277" w:lineRule="auto"/>
        <w:rPr>
          <w:sz w:val="20"/>
          <w:szCs w:val="20"/>
          <w:color w:val="auto"/>
        </w:rPr>
      </w:pPr>
      <w:r>
        <w:rPr>
          <w:rFonts w:ascii="Times New Roman" w:cs="Times New Roman" w:eastAsia="Times New Roman" w:hAnsi="Times New Roman"/>
          <w:sz w:val="18"/>
          <w:szCs w:val="18"/>
          <w:color w:val="auto"/>
        </w:rPr>
        <w:t>Effective January 1, 2026, the Compensation Committee approved base salary increases of approximately 3% for Mr. Auerbach, approximately 4% for Mr. Nougues and approximately 8% for Mr. Hunt.</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shows the Named Executive Officers’ base salaries for 2023, 2024 and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00" w:type="dxa"/>
            <w:vAlign w:val="bottom"/>
          </w:tcPr>
          <w:p>
            <w:pPr>
              <w:spacing w:after="0"/>
              <w:rPr>
                <w:sz w:val="18"/>
                <w:szCs w:val="18"/>
                <w:color w:val="auto"/>
              </w:rPr>
            </w:pP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2024 Annual Base</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2025 Annual Base</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2026 Annual Base</w:t>
            </w:r>
          </w:p>
        </w:tc>
      </w:tr>
      <w:tr>
        <w:trPr>
          <w:trHeight w:val="23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Salary ($)</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Salary ($)</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Salary ($)</w:t>
            </w:r>
          </w:p>
        </w:tc>
      </w:tr>
      <w:tr>
        <w:trPr>
          <w:trHeight w:val="20"/>
        </w:trPr>
        <w:tc>
          <w:tcPr>
            <w:tcW w:w="6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H. Auerbach</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904,207</w:t>
            </w:r>
          </w:p>
        </w:tc>
        <w:tc>
          <w:tcPr>
            <w:tcW w:w="22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931,333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959,273</w:t>
            </w:r>
          </w:p>
        </w:tc>
      </w:tr>
      <w:tr>
        <w:trPr>
          <w:trHeight w:val="21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Maximo F. Nougues</w:t>
            </w:r>
          </w:p>
        </w:tc>
        <w:tc>
          <w:tcPr>
            <w:tcW w:w="1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538,719</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562,961</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586,887</w:t>
            </w:r>
          </w:p>
        </w:tc>
      </w:tr>
      <w:tr>
        <w:trPr>
          <w:trHeight w:val="21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J. Ludwig</w:t>
            </w:r>
          </w:p>
        </w:tc>
        <w:tc>
          <w:tcPr>
            <w:tcW w:w="1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608,499</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620,669</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Douglas Hunt, B.Sc. (Hons)</w:t>
            </w:r>
          </w:p>
        </w:tc>
        <w:tc>
          <w:tcPr>
            <w:tcW w:w="1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447,287</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489,060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530,000</w:t>
            </w:r>
          </w:p>
        </w:tc>
      </w:tr>
    </w:tbl>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actual base salaries paid to our Named Executive Officers during 2025 are set forth in the “Summary Compensation Table” below.</w:t>
      </w:r>
    </w:p>
    <w:p>
      <w:pPr>
        <w:spacing w:after="0" w:line="2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Short-term Incentive Compensation</w:t>
      </w:r>
    </w:p>
    <w:p>
      <w:pPr>
        <w:spacing w:after="0" w:line="222" w:lineRule="exact"/>
        <w:rPr>
          <w:sz w:val="20"/>
          <w:szCs w:val="20"/>
          <w:color w:val="auto"/>
        </w:rPr>
      </w:pPr>
    </w:p>
    <w:p>
      <w:pPr>
        <w:ind w:right="20" w:firstLine="427"/>
        <w:spacing w:after="0" w:line="254" w:lineRule="auto"/>
        <w:rPr>
          <w:sz w:val="20"/>
          <w:szCs w:val="20"/>
          <w:color w:val="auto"/>
        </w:rPr>
      </w:pPr>
      <w:r>
        <w:rPr>
          <w:rFonts w:ascii="Times New Roman" w:cs="Times New Roman" w:eastAsia="Times New Roman" w:hAnsi="Times New Roman"/>
          <w:sz w:val="18"/>
          <w:szCs w:val="18"/>
          <w:color w:val="auto"/>
        </w:rPr>
        <w:t>Our annual short-term incentive compensation program is intended to provide cash incentives to drive company-wide performance. Each of our Named Executive Officers receives a target bonus opportunity (expressed as a percentage of annual base salary). For 2025, as in prior years, Messrs. Auerbach, Nougues, Ludwig and Hunt were eligible to earn an annual short-term incentive compensation award targeted at 65%, 40%, 40%, and 40%, respectively, of their annual base salary in effect at the end of 2025. Mr. Ludwig's employment was terminated in May 2025 and he did not earn his annual short-term incentive compensation in 2025.</w:t>
      </w:r>
    </w:p>
    <w:p>
      <w:pPr>
        <w:spacing w:after="0" w:line="186" w:lineRule="exact"/>
        <w:rPr>
          <w:sz w:val="20"/>
          <w:szCs w:val="20"/>
          <w:color w:val="auto"/>
        </w:rPr>
      </w:pPr>
    </w:p>
    <w:p>
      <w:pPr>
        <w:ind w:right="20" w:firstLine="427"/>
        <w:spacing w:after="0" w:line="250" w:lineRule="auto"/>
        <w:rPr>
          <w:sz w:val="20"/>
          <w:szCs w:val="20"/>
          <w:color w:val="auto"/>
        </w:rPr>
      </w:pPr>
      <w:r>
        <w:rPr>
          <w:rFonts w:ascii="Times New Roman" w:cs="Times New Roman" w:eastAsia="Times New Roman" w:hAnsi="Times New Roman"/>
          <w:sz w:val="18"/>
          <w:szCs w:val="18"/>
          <w:color w:val="auto"/>
        </w:rPr>
        <w:t>The Company’s 2025 annual short-term incentive compensation program was based in part on the achievement of pre-established corporate financial and clinical performance goals, which represented 100% of the target bonus opportunity for Mr. Auerbach, while such pre-established corporate financial and clinical performance goals represented 50% of the target bonus opportunity and individual performance represented the remaining 50% of the target bonus opportunity for the other Named Executive Officers. For 2025, the financial goal of revenues (40% weighting) under the 2024 incentive plan was replaced by bottles of NERLYNX sold (35% weighting) and royalty revenues (5% weighting) to put focus on two separate metrics that drive the company's financial performance, and this includes product revenues, net, primarily driven by domestic NERLYNX bottle sales and our international product sales which drive our royalty revenues. Our performance resulted in an overall 169.7% weighted attainment of the corporate performance portion of each Named Executive Officer’s target annual short-term incentive compensation award opportunity (the “Corporate Performance Portion”). The relative weightings with respect to each goal, actual achievement as a percentage of target performance and the weighted performance against the goals under the Corporate Performance Portion are set forth in the table below.</w:t>
      </w:r>
    </w:p>
    <w:p>
      <w:pPr>
        <w:spacing w:after="0" w:line="192" w:lineRule="exact"/>
        <w:rPr>
          <w:sz w:val="20"/>
          <w:szCs w:val="20"/>
          <w:color w:val="auto"/>
        </w:rPr>
      </w:pPr>
    </w:p>
    <w:p>
      <w:pPr>
        <w:ind w:left="140" w:right="140"/>
        <w:spacing w:after="0" w:line="277" w:lineRule="auto"/>
        <w:rPr>
          <w:sz w:val="20"/>
          <w:szCs w:val="20"/>
          <w:color w:val="auto"/>
        </w:rPr>
      </w:pPr>
      <w:r>
        <w:rPr>
          <w:rFonts w:ascii="Times New Roman" w:cs="Times New Roman" w:eastAsia="Times New Roman" w:hAnsi="Times New Roman"/>
          <w:sz w:val="18"/>
          <w:szCs w:val="18"/>
          <w:color w:val="auto"/>
        </w:rPr>
        <w:t>Straight-line interpolation was used to calculate payouts associated with actual results falling between threshold and target goals (0-100%), and target and maximum goals (100-200%).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1620" w:type="dxa"/>
            <w:vAlign w:val="bottom"/>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w w:val="98"/>
              </w:rPr>
              <w:t>TARGET 100%</w:t>
            </w:r>
          </w:p>
        </w:tc>
        <w:tc>
          <w:tcPr>
            <w:tcW w:w="1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36"/>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FINANCIAL PERFORMANCE METRIC</w:t>
            </w:r>
          </w:p>
        </w:tc>
        <w:tc>
          <w:tcPr>
            <w:tcW w:w="1620" w:type="dxa"/>
            <w:vAlign w:val="bottom"/>
            <w:tcBorders>
              <w:bottom w:val="single" w:sz="8" w:color="auto"/>
            </w:tcBorders>
          </w:tcPr>
          <w:p>
            <w:pPr>
              <w:jc w:val="center"/>
              <w:ind w:left="131"/>
              <w:spacing w:after="0"/>
              <w:rPr>
                <w:sz w:val="20"/>
                <w:szCs w:val="20"/>
                <w:color w:val="auto"/>
              </w:rPr>
            </w:pPr>
            <w:r>
              <w:rPr>
                <w:rFonts w:ascii="Times New Roman" w:cs="Times New Roman" w:eastAsia="Times New Roman" w:hAnsi="Times New Roman"/>
                <w:sz w:val="18"/>
                <w:szCs w:val="18"/>
                <w:b w:val="1"/>
                <w:bCs w:val="1"/>
                <w:color w:val="auto"/>
                <w:w w:val="94"/>
              </w:rPr>
              <w:t>PAYOUT</w:t>
            </w:r>
          </w:p>
        </w:tc>
        <w:tc>
          <w:tcPr>
            <w:tcW w:w="1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WEIGHTING</w:t>
            </w:r>
          </w:p>
        </w:tc>
        <w:tc>
          <w:tcPr>
            <w:tcW w:w="2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w w:val="99"/>
              </w:rPr>
              <w:t>ATTAINMENT FACTOR</w:t>
            </w: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PERFORMANCE EARNED</w:t>
            </w:r>
          </w:p>
        </w:tc>
      </w:tr>
      <w:tr>
        <w:trPr>
          <w:trHeight w:val="207"/>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Bottles of NERLYNX Sold (180 unit equiv)</w:t>
            </w:r>
          </w:p>
        </w:tc>
        <w:tc>
          <w:tcPr>
            <w:tcW w:w="162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6"/>
              </w:rPr>
              <w:t>10,290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187.8%</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65.7%</w:t>
            </w:r>
          </w:p>
        </w:tc>
      </w:tr>
      <w:tr>
        <w:trPr>
          <w:trHeight w:val="21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Royalty Revenue</w:t>
            </w:r>
          </w:p>
        </w:tc>
        <w:tc>
          <w:tcPr>
            <w:tcW w:w="16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8"/>
              </w:rPr>
              <w:t>$23.8 million</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5%</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119.8%</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r>
        <w:trPr>
          <w:trHeight w:val="21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Management.</w:t>
            </w:r>
          </w:p>
        </w:tc>
        <w:tc>
          <w:tcPr>
            <w:tcW w:w="162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9"/>
              </w:rPr>
              <w:t>$(17.9) million</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146.8%</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w:t>
            </w:r>
          </w:p>
        </w:tc>
      </w:tr>
      <w:tr>
        <w:trPr>
          <w:trHeight w:val="213"/>
        </w:trPr>
        <w:tc>
          <w:tcPr>
            <w:tcW w:w="3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CLINICAL PERFORMANCE METRIC</w:t>
            </w:r>
          </w:p>
        </w:tc>
        <w:tc>
          <w:tcPr>
            <w:tcW w:w="16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r>
      <w:tr>
        <w:trPr>
          <w:trHeight w:val="21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Alisertib study 4201 enrollment during 2025.</w:t>
            </w:r>
          </w:p>
        </w:tc>
        <w:tc>
          <w:tcPr>
            <w:tcW w:w="162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8"/>
              </w:rPr>
              <w:t>60 enrollments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160%</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w:t>
            </w:r>
          </w:p>
        </w:tc>
      </w:tr>
      <w:tr>
        <w:trPr>
          <w:trHeight w:val="21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Alisertib study 1201 enrollment during 2025.</w:t>
            </w:r>
          </w:p>
        </w:tc>
        <w:tc>
          <w:tcPr>
            <w:tcW w:w="1620" w:type="dxa"/>
            <w:vAlign w:val="bottom"/>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auto"/>
                <w:w w:val="98"/>
              </w:rPr>
              <w:t>65 enrollments</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200%</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r>
      <w:tr>
        <w:trPr>
          <w:trHeight w:val="213"/>
        </w:trPr>
        <w:tc>
          <w:tcPr>
            <w:tcW w:w="37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r>
      <w:tr>
        <w:trPr>
          <w:trHeight w:val="207"/>
        </w:trPr>
        <w:tc>
          <w:tcPr>
            <w:tcW w:w="3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APPROVED 2025 PERFORMANCE LEVEL</w:t>
            </w:r>
          </w:p>
        </w:tc>
        <w:tc>
          <w:tcPr>
            <w:tcW w:w="16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200" w:type="dxa"/>
            <w:vAlign w:val="bottom"/>
            <w:tcBorders>
              <w:bottom w:val="single" w:sz="8" w:color="auto"/>
            </w:tcBorders>
            <w:shd w:val="clear" w:color="auto" w:fill="CCEEFF"/>
          </w:tcPr>
          <w:p>
            <w:pPr>
              <w:spacing w:after="0"/>
              <w:rPr>
                <w:sz w:val="17"/>
                <w:szCs w:val="17"/>
                <w:color w:val="auto"/>
              </w:rPr>
            </w:pPr>
          </w:p>
        </w:tc>
        <w:tc>
          <w:tcPr>
            <w:tcW w:w="2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169.70%</w:t>
            </w:r>
          </w:p>
        </w:tc>
      </w:tr>
    </w:tbl>
    <w:p>
      <w:pPr>
        <w:sectPr>
          <w:pgSz w:w="11900" w:h="16838" w:orient="portrait"/>
          <w:cols w:equalWidth="0" w:num="1">
            <w:col w:w="11240"/>
          </w:cols>
          <w:pgMar w:left="320" w:top="121" w:right="339" w:bottom="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83820</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right="200" w:firstLine="427"/>
        <w:spacing w:after="0" w:line="257" w:lineRule="auto"/>
        <w:rPr>
          <w:sz w:val="20"/>
          <w:szCs w:val="20"/>
          <w:color w:val="auto"/>
        </w:rPr>
      </w:pPr>
      <w:r>
        <w:rPr>
          <w:rFonts w:ascii="Times New Roman" w:cs="Times New Roman" w:eastAsia="Times New Roman" w:hAnsi="Times New Roman"/>
          <w:sz w:val="18"/>
          <w:szCs w:val="18"/>
          <w:color w:val="auto"/>
        </w:rPr>
        <w:t>The Company set threshold, target, and maximum corporate performance bonus goals for 2025 for our executive officers based on forecasted operational results and established budgets for the 2025 calendar year. The financial goals were based on the Board-approved budget for 2025, which reflected among many factors, US demand expectations at the beginning of the year and were inclusive of the required quarterly principal payments on our debt that commenced in 2025. Our clinical trials enrollment goals were set using the industry standard expectations.</w:t>
      </w:r>
    </w:p>
    <w:p>
      <w:pPr>
        <w:spacing w:after="0" w:line="181" w:lineRule="exact"/>
        <w:rPr>
          <w:sz w:val="20"/>
          <w:szCs w:val="20"/>
          <w:color w:val="auto"/>
        </w:rPr>
      </w:pPr>
    </w:p>
    <w:p>
      <w:pPr>
        <w:ind w:right="80" w:firstLine="427"/>
        <w:spacing w:after="0" w:line="254" w:lineRule="auto"/>
        <w:rPr>
          <w:sz w:val="20"/>
          <w:szCs w:val="20"/>
          <w:color w:val="auto"/>
        </w:rPr>
      </w:pPr>
      <w:r>
        <w:rPr>
          <w:rFonts w:ascii="Times New Roman" w:cs="Times New Roman" w:eastAsia="Times New Roman" w:hAnsi="Times New Roman"/>
          <w:sz w:val="18"/>
          <w:szCs w:val="18"/>
          <w:color w:val="auto"/>
        </w:rPr>
        <w:t>The cash management performance metric was measured as the improvement (or decline) from December 31st of the prior fiscal year to December 31st of the then current fiscal year in total cash and cash equivalents, plus marketable securities, less adjustments for (i) significant one-time cash outflows related to lawsuit settlements or asset acquisitions and (ii) capital raises. The Compensation Committee approved an adjustment of $6.8 million to reduce the cash performance attained in 2025 to account for a delayed invoice from a vendor as to not benefit from an administrative delay. There were no other adjustments to the cash management performance metric.</w:t>
      </w:r>
    </w:p>
    <w:p>
      <w:pPr>
        <w:spacing w:after="0" w:line="186" w:lineRule="exact"/>
        <w:rPr>
          <w:sz w:val="20"/>
          <w:szCs w:val="20"/>
          <w:color w:val="auto"/>
        </w:rPr>
      </w:pPr>
    </w:p>
    <w:p>
      <w:pPr>
        <w:ind w:right="60" w:firstLine="427"/>
        <w:spacing w:after="0" w:line="254" w:lineRule="auto"/>
        <w:rPr>
          <w:sz w:val="20"/>
          <w:szCs w:val="20"/>
          <w:color w:val="auto"/>
        </w:rPr>
      </w:pPr>
      <w:r>
        <w:rPr>
          <w:rFonts w:ascii="Times New Roman" w:cs="Times New Roman" w:eastAsia="Times New Roman" w:hAnsi="Times New Roman"/>
          <w:sz w:val="18"/>
          <w:szCs w:val="18"/>
          <w:color w:val="auto"/>
        </w:rPr>
        <w:t>For our Named Executive Officers, other than Mr. Auerbach, target bonus opportunities also contained a discretionary element based on the Compensation Committee’s assessment of the executive’s individual performance (the “Individual Performance Portion”), weighted 50% and the Corporate Performance Portion weighted 50%. In assessing these Named Executive Officers’ individual performance for 2025, the Compensation Committee considered their efforts with respect to the commercial performance of NERLYNX both within and outside of the United States, as well as clinical, financial, and working capital achievements. Among those achievements were:</w:t>
      </w:r>
    </w:p>
    <w:p>
      <w:pPr>
        <w:spacing w:after="0" w:line="239" w:lineRule="exact"/>
        <w:rPr>
          <w:sz w:val="20"/>
          <w:szCs w:val="20"/>
          <w:color w:val="auto"/>
        </w:rPr>
      </w:pPr>
    </w:p>
    <w:p>
      <w:pPr>
        <w:ind w:left="460" w:hanging="144"/>
        <w:spacing w:after="0"/>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development of alisertib;</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year-over-year growth in commercial U.S. bottle sales for the first time in six years (from 10,612 bottles in 2024 to 11,193 bottles in 2025);</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management of operating expenses;</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improvement in our net income in 2025 compared to 2024; and</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debt balance from $67 million to $22.5 million.</w:t>
      </w:r>
    </w:p>
    <w:p>
      <w:pPr>
        <w:spacing w:after="0" w:line="273" w:lineRule="exact"/>
        <w:rPr>
          <w:sz w:val="20"/>
          <w:szCs w:val="20"/>
          <w:color w:val="auto"/>
        </w:rPr>
      </w:pPr>
    </w:p>
    <w:p>
      <w:pPr>
        <w:ind w:right="80" w:firstLine="427"/>
        <w:spacing w:after="0" w:line="267" w:lineRule="auto"/>
        <w:rPr>
          <w:sz w:val="20"/>
          <w:szCs w:val="20"/>
          <w:color w:val="auto"/>
        </w:rPr>
      </w:pPr>
      <w:r>
        <w:rPr>
          <w:rFonts w:ascii="Times New Roman" w:cs="Times New Roman" w:eastAsia="Times New Roman" w:hAnsi="Times New Roman"/>
          <w:sz w:val="17"/>
          <w:szCs w:val="17"/>
          <w:color w:val="auto"/>
        </w:rPr>
        <w:t>Also considered was the decline in net revenue. Based on our Compensation Committee’s consideration of each Named Executive Officer’s individual performance for 2025, supplemented by input from our Chief Executive Officer, Messrs. Nougues and Hunt received 116 % and 125%, respectively, of the discretionary portion of their 2025 target bonus opportunity, given the contributions each person made in the achievement of the Company’s overall results described above. Each Named Executive Officer’s blended performance for 2025 was as follows: Messrs. Nougues and Hunt received 142.85%</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147.35%, respectively, of their applicable target bonus opportunity.</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annual short-term incentive compensation awards received by each Named Executive Officer for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Actual Award Paid</w:t>
            </w:r>
          </w:p>
        </w:tc>
      </w:tr>
      <w:tr>
        <w:trPr>
          <w:trHeight w:val="213"/>
        </w:trPr>
        <w:tc>
          <w:tcPr>
            <w:tcW w:w="7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 of Target</w:t>
            </w:r>
          </w:p>
        </w:tc>
      </w:tr>
      <w:tr>
        <w:trPr>
          <w:trHeight w:val="213"/>
        </w:trPr>
        <w:tc>
          <w:tcPr>
            <w:tcW w:w="7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Bonus</w:t>
            </w:r>
          </w:p>
        </w:tc>
      </w:tr>
      <w:tr>
        <w:trPr>
          <w:trHeight w:val="236"/>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2025 Award ($)</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Opportunity) ($)</w:t>
            </w:r>
          </w:p>
        </w:tc>
        <w:tc>
          <w:tcPr>
            <w:tcW w:w="160" w:type="dxa"/>
            <w:vAlign w:val="bottom"/>
          </w:tcPr>
          <w:p>
            <w:pPr>
              <w:spacing w:after="0"/>
              <w:rPr>
                <w:sz w:val="20"/>
                <w:szCs w:val="20"/>
                <w:color w:val="auto"/>
              </w:rPr>
            </w:pPr>
          </w:p>
        </w:tc>
      </w:tr>
      <w:tr>
        <w:trPr>
          <w:trHeight w:val="207"/>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H. Auerbach</w:t>
            </w:r>
          </w:p>
        </w:tc>
        <w:tc>
          <w:tcPr>
            <w:tcW w:w="1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1,027,307</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169.70%</w:t>
            </w:r>
          </w:p>
        </w:tc>
      </w:tr>
      <w:tr>
        <w:trPr>
          <w:trHeight w:val="21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Maximo F. Nougues</w:t>
            </w:r>
          </w:p>
        </w:tc>
        <w:tc>
          <w:tcPr>
            <w:tcW w:w="1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321,676</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142.85%</w:t>
            </w:r>
          </w:p>
        </w:tc>
      </w:tr>
      <w:tr>
        <w:trPr>
          <w:trHeight w:val="213"/>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Hunt, B.Sc. (Hons)</w:t>
            </w:r>
          </w:p>
        </w:tc>
        <w:tc>
          <w:tcPr>
            <w:tcW w:w="1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288,252</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147.35%</w:t>
            </w:r>
          </w:p>
        </w:tc>
      </w:tr>
    </w:tbl>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Long-Term Equity Awards</w:t>
      </w:r>
    </w:p>
    <w:p>
      <w:pPr>
        <w:spacing w:after="0" w:line="222" w:lineRule="exact"/>
        <w:rPr>
          <w:sz w:val="20"/>
          <w:szCs w:val="20"/>
          <w:color w:val="auto"/>
        </w:rPr>
      </w:pPr>
    </w:p>
    <w:p>
      <w:pPr>
        <w:ind w:right="100" w:firstLine="427"/>
        <w:spacing w:after="0" w:line="271" w:lineRule="auto"/>
        <w:rPr>
          <w:sz w:val="20"/>
          <w:szCs w:val="20"/>
          <w:color w:val="auto"/>
        </w:rPr>
      </w:pPr>
      <w:r>
        <w:rPr>
          <w:rFonts w:ascii="Times New Roman" w:cs="Times New Roman" w:eastAsia="Times New Roman" w:hAnsi="Times New Roman"/>
          <w:sz w:val="17"/>
          <w:szCs w:val="17"/>
          <w:color w:val="auto"/>
        </w:rPr>
        <w:t>The goal of our long-term incentive compensation program is to align the interests of our Named Executive Officers with the interests of our stockholders. Because the equity awards are granted subject to vesting based on continued service, our equity awards also encourage the retention of our Named Executive Officers during the award vesting period. In determining the size of the equity awards to be granted to our Named Executive Officers, the Compensation Committee considers several factors, including our corporate performance, compensation peer group practices, a competitive market analysis prepared by Compensia, relative job scope, the value of their existing stockholdings in the Company and their outstanding equity awards and their retentive hold, the recommendations of the Chief Executive Officer (except with respect to his own equity award) and individual performance history.</w:t>
      </w:r>
    </w:p>
    <w:p>
      <w:pPr>
        <w:spacing w:after="0" w:line="383" w:lineRule="exact"/>
        <w:rPr>
          <w:sz w:val="20"/>
          <w:szCs w:val="20"/>
          <w:color w:val="auto"/>
        </w:rPr>
      </w:pPr>
    </w:p>
    <w:p>
      <w:pPr>
        <w:ind w:firstLine="427"/>
        <w:spacing w:after="0" w:line="257" w:lineRule="auto"/>
        <w:rPr>
          <w:sz w:val="20"/>
          <w:szCs w:val="20"/>
          <w:color w:val="auto"/>
        </w:rPr>
      </w:pPr>
      <w:r>
        <w:rPr>
          <w:rFonts w:ascii="Times New Roman" w:cs="Times New Roman" w:eastAsia="Times New Roman" w:hAnsi="Times New Roman"/>
          <w:sz w:val="18"/>
          <w:szCs w:val="18"/>
          <w:color w:val="auto"/>
        </w:rPr>
        <w:t>To reward and retain our Named Executive Officers in a manner that aligns their interests with stockholders’ interests, we have used stock options as one of the primary incentive vehicles for our long-term incentive compensation opportunities. Because an optionee realizes value from stock options only if our stock price increases relative to the stock option’s exercise price, we believe stock options provide meaningful incentives to achieve increases in the value of our common stock over time. Additionally, we also grant our Named Executive Officers RSUs, as they serve as an important retention tool.</w:t>
      </w:r>
    </w:p>
    <w:p>
      <w:pPr>
        <w:spacing w:after="0" w:line="181" w:lineRule="exact"/>
        <w:rPr>
          <w:sz w:val="20"/>
          <w:szCs w:val="20"/>
          <w:color w:val="auto"/>
        </w:rPr>
      </w:pPr>
    </w:p>
    <w:p>
      <w:pPr>
        <w:jc w:val="both"/>
        <w:ind w:right="80" w:firstLine="427"/>
        <w:spacing w:after="0" w:line="221" w:lineRule="auto"/>
        <w:rPr>
          <w:sz w:val="20"/>
          <w:szCs w:val="20"/>
          <w:color w:val="auto"/>
        </w:rPr>
      </w:pPr>
      <w:r>
        <w:rPr>
          <w:rFonts w:ascii="Times New Roman" w:cs="Times New Roman" w:eastAsia="Times New Roman" w:hAnsi="Times New Roman"/>
          <w:sz w:val="17"/>
          <w:szCs w:val="17"/>
          <w:color w:val="auto"/>
        </w:rPr>
        <w:t>The Compensation Committee, when determining the 2025 aggregate dollar-denominated values of equity awards for our Named Executive Officers, aligned the target aggregate dollar-denominated values of the awards with the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percentile of the long-term incentive compensation values reported by the companies in our 2025 compensation peer group, adjusted to reflect our achievement of the following 2024 corporate performance goals under our</w:t>
      </w:r>
    </w:p>
    <w:p>
      <w:pPr>
        <w:spacing w:after="0" w:line="3"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8"/>
          <w:szCs w:val="18"/>
          <w:color w:val="auto"/>
        </w:rPr>
        <w:t>2024 annual short-term incentive compensation program, which the Compensation Committee determined had been attained at 159.7%. In addition, the impact on equity award valuation as a result of our shorter six-month vesting periods over two years is taken into consideration, which results in greater than median equity award value granted. In approving the 2025 equity award values, the Compensation Committee reviewed and considered the competitive market analysis of the equity award values reported by the companies in our 2025 compensation peer group that reflected a decrease in equity award values at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as well as the recommendations of our Chief Executive Officer for an adjustment in grant value for the other Named Executive Officers, individual performance by each of the Named Executive Officers, and the number of shares granted in the prior year and the number of shares available for grant under our 2011 Plan.</w:t>
      </w:r>
    </w:p>
    <w:p>
      <w:pPr>
        <w:sectPr>
          <w:pgSz w:w="11900" w:h="16838" w:orient="portrait"/>
          <w:cols w:equalWidth="0" w:num="1">
            <w:col w:w="11240"/>
          </w:cols>
          <w:pgMar w:left="320" w:top="121" w:right="339" w:bottom="1095" w:gutter="0" w:footer="0" w:header="0"/>
        </w:sectPr>
      </w:pP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095"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right="140" w:firstLine="427"/>
        <w:spacing w:after="0" w:line="253" w:lineRule="auto"/>
        <w:rPr>
          <w:sz w:val="20"/>
          <w:szCs w:val="20"/>
          <w:color w:val="auto"/>
        </w:rPr>
      </w:pPr>
      <w:r>
        <w:rPr>
          <w:rFonts w:ascii="Times New Roman" w:cs="Times New Roman" w:eastAsia="Times New Roman" w:hAnsi="Times New Roman"/>
          <w:sz w:val="18"/>
          <w:szCs w:val="18"/>
          <w:color w:val="auto"/>
        </w:rPr>
        <w:t>A decrease in stock price at the time of the 2025 grants and limited shares in our stock pool contributed to a significantly lesser award grant value of Mr. Auerbach’s 2025 equity award than his 2024 equity award grant value. Additionally, consistent with prior years, due to stock price volatility, the Compensation Committee determined the number of stock options and RSUs to be granted to our Named Executive Officers in February 2025 based on our 30-calendar day average closing stock price prior to the date of grant of $3.12. The grant date closing price on February 7, 2025 was $2.78, which was lower than our 30-calendar day average closing stock price, resulting in a lower reported grant date fair value of the awards in the Summary Compensation Table than the dollar-denominated values determined by the Compensation Committee.</w:t>
      </w:r>
    </w:p>
    <w:p>
      <w:pPr>
        <w:spacing w:after="0" w:line="185" w:lineRule="exact"/>
        <w:rPr>
          <w:sz w:val="20"/>
          <w:szCs w:val="20"/>
          <w:color w:val="auto"/>
        </w:rPr>
      </w:pPr>
    </w:p>
    <w:p>
      <w:pPr>
        <w:ind w:right="140" w:firstLine="427"/>
        <w:spacing w:after="0" w:line="277" w:lineRule="auto"/>
        <w:rPr>
          <w:sz w:val="20"/>
          <w:szCs w:val="20"/>
          <w:color w:val="auto"/>
        </w:rPr>
      </w:pPr>
      <w:r>
        <w:rPr>
          <w:rFonts w:ascii="Times New Roman" w:cs="Times New Roman" w:eastAsia="Times New Roman" w:hAnsi="Times New Roman"/>
          <w:sz w:val="18"/>
          <w:szCs w:val="18"/>
          <w:color w:val="auto"/>
        </w:rPr>
        <w:t>The 2025 equity awards were granted in the form of stock options and RSUs, with each representing approximately 50% of the aggregate value of the award. The following table sets forth the 2025 equity award values as approved by our Compensation Committee.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2024 Aggregate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2025 Aggregate</w:t>
            </w:r>
          </w:p>
        </w:tc>
      </w:tr>
      <w:tr>
        <w:trPr>
          <w:trHeight w:val="213"/>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Values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Values</w:t>
            </w:r>
          </w:p>
        </w:tc>
      </w:tr>
      <w:tr>
        <w:trPr>
          <w:trHeight w:val="236"/>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Approved(1) ($)</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Approved(2) ($)</w:t>
            </w:r>
          </w:p>
        </w:tc>
        <w:tc>
          <w:tcPr>
            <w:tcW w:w="100" w:type="dxa"/>
            <w:vAlign w:val="bottom"/>
          </w:tcPr>
          <w:p>
            <w:pPr>
              <w:spacing w:after="0"/>
              <w:rPr>
                <w:sz w:val="20"/>
                <w:szCs w:val="20"/>
                <w:color w:val="auto"/>
              </w:rPr>
            </w:pPr>
          </w:p>
        </w:tc>
      </w:tr>
      <w:tr>
        <w:trPr>
          <w:trHeight w:val="207"/>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H. Auerbach</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1,700,300</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1,238,000</w:t>
            </w:r>
          </w:p>
        </w:tc>
      </w:tr>
      <w:tr>
        <w:trPr>
          <w:trHeight w:val="21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Maximo F. Nougues</w:t>
            </w: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440,000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383,500</w:t>
            </w:r>
          </w:p>
        </w:tc>
      </w:tr>
      <w:tr>
        <w:trPr>
          <w:trHeight w:val="213"/>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J. Ludwig</w:t>
            </w:r>
          </w:p>
        </w:tc>
        <w:tc>
          <w:tcPr>
            <w:tcW w:w="1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275,000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298,500</w:t>
            </w:r>
          </w:p>
        </w:tc>
      </w:tr>
      <w:tr>
        <w:trPr>
          <w:trHeight w:val="232"/>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Douglas Hunt, B.Sc. (Hons)</w:t>
            </w: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385,000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300,300</w:t>
            </w:r>
          </w:p>
        </w:tc>
      </w:tr>
    </w:tbl>
    <w:p>
      <w:pPr>
        <w:spacing w:after="0" w:line="176" w:lineRule="exact"/>
        <w:rPr>
          <w:sz w:val="20"/>
          <w:szCs w:val="20"/>
          <w:color w:val="auto"/>
        </w:rPr>
      </w:pPr>
    </w:p>
    <w:p>
      <w:pPr>
        <w:ind w:left="880" w:right="360" w:hanging="326"/>
        <w:spacing w:after="0" w:line="254"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dollar-denominated values of the approved 2024 annual equity awards as approved by the Compensation Committee based on our 30-calendar day average closing stock price prior to the date of grant of $5.08. The aggregate grant date fair values, computed in accordance with ASC 718, are $2,110,902, $550,825, $344,265 and $481,971 for Messrs. Auerbach, Nougues and Ludwig and Hunt, respectively, which are higher than the aggregate dollar-denominated values due to the increase in our stock price on the day of grant (February 12, 2024) of $6.36 per share.</w:t>
      </w:r>
    </w:p>
    <w:p>
      <w:pPr>
        <w:spacing w:after="0" w:line="185" w:lineRule="exact"/>
        <w:rPr>
          <w:rFonts w:ascii="Times New Roman" w:cs="Times New Roman" w:eastAsia="Times New Roman" w:hAnsi="Times New Roman"/>
          <w:sz w:val="18"/>
          <w:szCs w:val="18"/>
          <w:color w:val="auto"/>
        </w:rPr>
      </w:pPr>
    </w:p>
    <w:p>
      <w:pPr>
        <w:ind w:left="880" w:right="220" w:hanging="326"/>
        <w:spacing w:after="0" w:line="254"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dollar-denominated values of the approved 2025 annual equity awards as approved by the Compensation Committee based on our 30-calendar day average closing stock price prior to the date of grant of $3.12. The aggregate grant date fair values, computed in accordance with ASC 718, are $1,087,062, $336,729, $262,129 and $263,643 for Messrs. Auerbach, Nougues, Ludwig and Hunt, which are higher than the aggregate dollar-denominated values due to the decrease in our stock price on the day of grant (February 7, 2025) of $2.78 per share.</w:t>
      </w:r>
    </w:p>
    <w:p>
      <w:pPr>
        <w:spacing w:after="0" w:line="186" w:lineRule="exact"/>
        <w:rPr>
          <w:sz w:val="20"/>
          <w:szCs w:val="20"/>
          <w:color w:val="auto"/>
        </w:rPr>
      </w:pPr>
    </w:p>
    <w:p>
      <w:pPr>
        <w:ind w:right="120" w:firstLine="427"/>
        <w:spacing w:after="0" w:line="273" w:lineRule="auto"/>
        <w:rPr>
          <w:sz w:val="20"/>
          <w:szCs w:val="20"/>
          <w:color w:val="auto"/>
        </w:rPr>
      </w:pPr>
      <w:r>
        <w:rPr>
          <w:rFonts w:ascii="Times New Roman" w:cs="Times New Roman" w:eastAsia="Times New Roman" w:hAnsi="Times New Roman"/>
          <w:sz w:val="17"/>
          <w:szCs w:val="17"/>
          <w:color w:val="auto"/>
        </w:rPr>
        <w:t>The equity awards granted in February 2025 vest over a two-year period, in six month increments, as follows (subject to continued service, or for Mr. Auerbach, continued employment, through the applicable vesting date): one-fourth (1/4th) of the RSUs on each of July 1, 2025, January 1, 2026, July 1, 2026 and January 1, 2027. The Compensation Committee believes that the shorter vesting period in six-month increments over two years, instead of annual increments over three years that were in place prior to February 2024, continues to appropriately encourage continued service or employment, as applicable, with the Company while allowing our Named Executive Officers to realize compensation consistent with the value they have created for our stockholders.</w:t>
      </w:r>
    </w:p>
    <w:p>
      <w:pPr>
        <w:spacing w:after="0" w:line="169" w:lineRule="exact"/>
        <w:rPr>
          <w:sz w:val="20"/>
          <w:szCs w:val="20"/>
          <w:color w:val="auto"/>
        </w:rPr>
      </w:pPr>
    </w:p>
    <w:p>
      <w:pPr>
        <w:ind w:right="160" w:firstLine="427"/>
        <w:spacing w:after="0" w:line="277" w:lineRule="auto"/>
        <w:rPr>
          <w:sz w:val="20"/>
          <w:szCs w:val="20"/>
          <w:color w:val="auto"/>
        </w:rPr>
      </w:pPr>
      <w:r>
        <w:rPr>
          <w:rFonts w:ascii="Times New Roman" w:cs="Times New Roman" w:eastAsia="Times New Roman" w:hAnsi="Times New Roman"/>
          <w:sz w:val="18"/>
          <w:szCs w:val="18"/>
          <w:color w:val="auto"/>
        </w:rPr>
        <w:t>During 2025, the Compensation Committee granted the following annual stock options to our Named Executive Officers, representing approximately 50% of the aggregate equity award value: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2025 Stock</w:t>
            </w:r>
          </w:p>
        </w:tc>
      </w:tr>
      <w:tr>
        <w:trPr>
          <w:trHeight w:val="213"/>
        </w:trPr>
        <w:tc>
          <w:tcPr>
            <w:tcW w:w="10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Options (#</w:t>
            </w:r>
          </w:p>
        </w:tc>
      </w:tr>
      <w:tr>
        <w:trPr>
          <w:trHeight w:val="236"/>
        </w:trPr>
        <w:tc>
          <w:tcPr>
            <w:tcW w:w="10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Shares)</w:t>
            </w:r>
          </w:p>
        </w:tc>
        <w:tc>
          <w:tcPr>
            <w:tcW w:w="100" w:type="dxa"/>
            <w:vAlign w:val="bottom"/>
          </w:tcPr>
          <w:p>
            <w:pPr>
              <w:spacing w:after="0"/>
              <w:rPr>
                <w:sz w:val="20"/>
                <w:szCs w:val="20"/>
                <w:color w:val="auto"/>
              </w:rPr>
            </w:pPr>
          </w:p>
        </w:tc>
      </w:tr>
      <w:tr>
        <w:trPr>
          <w:trHeight w:val="207"/>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H. Auerbach</w:t>
            </w:r>
          </w:p>
        </w:tc>
        <w:tc>
          <w:tcPr>
            <w:tcW w:w="10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274,622</w:t>
            </w:r>
          </w:p>
        </w:tc>
        <w:tc>
          <w:tcPr>
            <w:tcW w:w="100" w:type="dxa"/>
            <w:vAlign w:val="bottom"/>
            <w:shd w:val="clear" w:color="auto" w:fill="CCEEFF"/>
          </w:tcPr>
          <w:p>
            <w:pPr>
              <w:spacing w:after="0"/>
              <w:rPr>
                <w:sz w:val="17"/>
                <w:szCs w:val="17"/>
                <w:color w:val="auto"/>
              </w:rPr>
            </w:pPr>
          </w:p>
        </w:tc>
      </w:tr>
      <w:tr>
        <w:trPr>
          <w:trHeight w:val="213"/>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Maximo F. Nougues</w:t>
            </w:r>
          </w:p>
        </w:tc>
        <w:tc>
          <w:tcPr>
            <w:tcW w:w="102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rPr>
              <w:t>85,067</w:t>
            </w:r>
          </w:p>
        </w:tc>
        <w:tc>
          <w:tcPr>
            <w:tcW w:w="100" w:type="dxa"/>
            <w:vAlign w:val="bottom"/>
          </w:tcPr>
          <w:p>
            <w:pPr>
              <w:spacing w:after="0"/>
              <w:rPr>
                <w:sz w:val="18"/>
                <w:szCs w:val="18"/>
                <w:color w:val="auto"/>
              </w:rPr>
            </w:pPr>
          </w:p>
        </w:tc>
      </w:tr>
      <w:tr>
        <w:trPr>
          <w:trHeight w:val="213"/>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J. Ludwig</w:t>
            </w:r>
          </w:p>
        </w:tc>
        <w:tc>
          <w:tcPr>
            <w:tcW w:w="102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rPr>
              <w:t>66,221</w:t>
            </w:r>
          </w:p>
        </w:tc>
        <w:tc>
          <w:tcPr>
            <w:tcW w:w="100" w:type="dxa"/>
            <w:vAlign w:val="bottom"/>
            <w:shd w:val="clear" w:color="auto" w:fill="CCEEFF"/>
          </w:tcPr>
          <w:p>
            <w:pPr>
              <w:spacing w:after="0"/>
              <w:rPr>
                <w:sz w:val="18"/>
                <w:szCs w:val="18"/>
                <w:color w:val="auto"/>
              </w:rPr>
            </w:pPr>
          </w:p>
        </w:tc>
      </w:tr>
      <w:tr>
        <w:trPr>
          <w:trHeight w:val="232"/>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Douglas Hunt, B.Sc. (Hons)</w:t>
            </w:r>
          </w:p>
        </w:tc>
        <w:tc>
          <w:tcPr>
            <w:tcW w:w="102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rPr>
              <w:t>66,604</w:t>
            </w:r>
          </w:p>
        </w:tc>
        <w:tc>
          <w:tcPr>
            <w:tcW w:w="100" w:type="dxa"/>
            <w:vAlign w:val="bottom"/>
          </w:tcPr>
          <w:p>
            <w:pPr>
              <w:spacing w:after="0"/>
              <w:rPr>
                <w:sz w:val="20"/>
                <w:szCs w:val="20"/>
                <w:color w:val="auto"/>
              </w:rPr>
            </w:pPr>
          </w:p>
        </w:tc>
      </w:tr>
    </w:tbl>
    <w:p>
      <w:pPr>
        <w:spacing w:after="0" w:line="390" w:lineRule="exact"/>
        <w:rPr>
          <w:sz w:val="20"/>
          <w:szCs w:val="20"/>
          <w:color w:val="auto"/>
        </w:rPr>
      </w:pPr>
    </w:p>
    <w:p>
      <w:pPr>
        <w:ind w:right="540" w:firstLine="427"/>
        <w:spacing w:after="0" w:line="277" w:lineRule="auto"/>
        <w:rPr>
          <w:sz w:val="20"/>
          <w:szCs w:val="20"/>
          <w:color w:val="auto"/>
        </w:rPr>
      </w:pPr>
      <w:r>
        <w:rPr>
          <w:rFonts w:ascii="Times New Roman" w:cs="Times New Roman" w:eastAsia="Times New Roman" w:hAnsi="Times New Roman"/>
          <w:sz w:val="18"/>
          <w:szCs w:val="18"/>
          <w:color w:val="auto"/>
        </w:rPr>
        <w:t>During 2025, the Compensation Committee granted the following annual time-based RSU grants to our Named Executive Officers, representing approximately 50% of the aggregate award value: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2025 RSUs</w:t>
            </w:r>
          </w:p>
        </w:tc>
      </w:tr>
      <w:tr>
        <w:trPr>
          <w:trHeight w:val="236"/>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 of Units)</w:t>
            </w:r>
          </w:p>
        </w:tc>
        <w:tc>
          <w:tcPr>
            <w:tcW w:w="100" w:type="dxa"/>
            <w:vAlign w:val="bottom"/>
          </w:tcPr>
          <w:p>
            <w:pPr>
              <w:spacing w:after="0"/>
              <w:rPr>
                <w:sz w:val="20"/>
                <w:szCs w:val="20"/>
                <w:color w:val="auto"/>
              </w:rPr>
            </w:pPr>
          </w:p>
        </w:tc>
      </w:tr>
      <w:tr>
        <w:trPr>
          <w:trHeight w:val="207"/>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H. Auerbach</w:t>
            </w:r>
          </w:p>
        </w:tc>
        <w:tc>
          <w:tcPr>
            <w:tcW w:w="7360" w:type="dxa"/>
            <w:vAlign w:val="bottom"/>
            <w:gridSpan w:val="3"/>
            <w:shd w:val="clear" w:color="auto" w:fill="CCEEFF"/>
          </w:tcPr>
          <w:p>
            <w:pPr>
              <w:jc w:val="center"/>
              <w:ind w:left="6371"/>
              <w:spacing w:after="0"/>
              <w:rPr>
                <w:sz w:val="20"/>
                <w:szCs w:val="20"/>
                <w:color w:val="auto"/>
              </w:rPr>
            </w:pPr>
            <w:r>
              <w:rPr>
                <w:rFonts w:ascii="Times New Roman" w:cs="Times New Roman" w:eastAsia="Times New Roman" w:hAnsi="Times New Roman"/>
                <w:sz w:val="18"/>
                <w:szCs w:val="18"/>
                <w:color w:val="auto"/>
                <w:w w:val="99"/>
              </w:rPr>
              <w:t>198,399</w:t>
            </w:r>
          </w:p>
        </w:tc>
        <w:tc>
          <w:tcPr>
            <w:tcW w:w="100" w:type="dxa"/>
            <w:vAlign w:val="bottom"/>
            <w:shd w:val="clear" w:color="auto" w:fill="CCEEFF"/>
          </w:tcPr>
          <w:p>
            <w:pPr>
              <w:spacing w:after="0"/>
              <w:rPr>
                <w:sz w:val="17"/>
                <w:szCs w:val="17"/>
                <w:color w:val="auto"/>
              </w:rPr>
            </w:pPr>
          </w:p>
        </w:tc>
      </w:tr>
      <w:tr>
        <w:trPr>
          <w:trHeight w:val="21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Maximo F. Nougues</w:t>
            </w:r>
          </w:p>
        </w:tc>
        <w:tc>
          <w:tcPr>
            <w:tcW w:w="7360" w:type="dxa"/>
            <w:vAlign w:val="bottom"/>
            <w:gridSpan w:val="3"/>
          </w:tcPr>
          <w:p>
            <w:pPr>
              <w:jc w:val="center"/>
              <w:ind w:left="6371"/>
              <w:spacing w:after="0"/>
              <w:rPr>
                <w:sz w:val="20"/>
                <w:szCs w:val="20"/>
                <w:color w:val="auto"/>
              </w:rPr>
            </w:pPr>
            <w:r>
              <w:rPr>
                <w:rFonts w:ascii="Times New Roman" w:cs="Times New Roman" w:eastAsia="Times New Roman" w:hAnsi="Times New Roman"/>
                <w:sz w:val="18"/>
                <w:szCs w:val="18"/>
                <w:color w:val="auto"/>
              </w:rPr>
              <w:t>61,456</w:t>
            </w:r>
          </w:p>
        </w:tc>
        <w:tc>
          <w:tcPr>
            <w:tcW w:w="100" w:type="dxa"/>
            <w:vAlign w:val="bottom"/>
          </w:tcPr>
          <w:p>
            <w:pPr>
              <w:spacing w:after="0"/>
              <w:rPr>
                <w:sz w:val="18"/>
                <w:szCs w:val="18"/>
                <w:color w:val="auto"/>
              </w:rPr>
            </w:pPr>
          </w:p>
        </w:tc>
      </w:tr>
      <w:tr>
        <w:trPr>
          <w:trHeight w:val="21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J. Ludwig</w:t>
            </w:r>
          </w:p>
        </w:tc>
        <w:tc>
          <w:tcPr>
            <w:tcW w:w="7360" w:type="dxa"/>
            <w:vAlign w:val="bottom"/>
            <w:gridSpan w:val="3"/>
            <w:shd w:val="clear" w:color="auto" w:fill="CCEEFF"/>
          </w:tcPr>
          <w:p>
            <w:pPr>
              <w:jc w:val="center"/>
              <w:ind w:left="6371"/>
              <w:spacing w:after="0"/>
              <w:rPr>
                <w:sz w:val="20"/>
                <w:szCs w:val="20"/>
                <w:color w:val="auto"/>
              </w:rPr>
            </w:pPr>
            <w:r>
              <w:rPr>
                <w:rFonts w:ascii="Times New Roman" w:cs="Times New Roman" w:eastAsia="Times New Roman" w:hAnsi="Times New Roman"/>
                <w:sz w:val="18"/>
                <w:szCs w:val="18"/>
                <w:color w:val="auto"/>
              </w:rPr>
              <w:t>47,841</w:t>
            </w:r>
          </w:p>
        </w:tc>
        <w:tc>
          <w:tcPr>
            <w:tcW w:w="100" w:type="dxa"/>
            <w:vAlign w:val="bottom"/>
            <w:shd w:val="clear" w:color="auto" w:fill="CCEEFF"/>
          </w:tcPr>
          <w:p>
            <w:pPr>
              <w:spacing w:after="0"/>
              <w:rPr>
                <w:sz w:val="18"/>
                <w:szCs w:val="18"/>
                <w:color w:val="auto"/>
              </w:rPr>
            </w:pPr>
          </w:p>
        </w:tc>
      </w:tr>
      <w:tr>
        <w:trPr>
          <w:trHeight w:val="232"/>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Douglas Hunt, B.Sc. (Hons)</w:t>
            </w:r>
          </w:p>
        </w:tc>
        <w:tc>
          <w:tcPr>
            <w:tcW w:w="7360" w:type="dxa"/>
            <w:vAlign w:val="bottom"/>
            <w:gridSpan w:val="3"/>
          </w:tcPr>
          <w:p>
            <w:pPr>
              <w:jc w:val="center"/>
              <w:ind w:left="6351"/>
              <w:spacing w:after="0"/>
              <w:rPr>
                <w:sz w:val="20"/>
                <w:szCs w:val="20"/>
                <w:color w:val="auto"/>
              </w:rPr>
            </w:pPr>
            <w:r>
              <w:rPr>
                <w:rFonts w:ascii="Times New Roman" w:cs="Times New Roman" w:eastAsia="Times New Roman" w:hAnsi="Times New Roman"/>
                <w:sz w:val="18"/>
                <w:szCs w:val="18"/>
                <w:color w:val="auto"/>
                <w:w w:val="96"/>
              </w:rPr>
              <w:t>48,117</w:t>
            </w:r>
          </w:p>
        </w:tc>
        <w:tc>
          <w:tcPr>
            <w:tcW w:w="100" w:type="dxa"/>
            <w:vAlign w:val="bottom"/>
          </w:tcPr>
          <w:p>
            <w:pPr>
              <w:spacing w:after="0"/>
              <w:rPr>
                <w:sz w:val="20"/>
                <w:szCs w:val="20"/>
                <w:color w:val="auto"/>
              </w:rPr>
            </w:pPr>
          </w:p>
        </w:tc>
      </w:tr>
      <w:tr>
        <w:trPr>
          <w:trHeight w:val="409"/>
        </w:trPr>
        <w:tc>
          <w:tcPr>
            <w:tcW w:w="3780" w:type="dxa"/>
            <w:vAlign w:val="bottom"/>
          </w:tcPr>
          <w:p>
            <w:pPr>
              <w:spacing w:after="0"/>
              <w:rPr>
                <w:sz w:val="24"/>
                <w:szCs w:val="24"/>
                <w:color w:val="auto"/>
              </w:rPr>
            </w:pPr>
          </w:p>
        </w:tc>
        <w:tc>
          <w:tcPr>
            <w:tcW w:w="6340" w:type="dxa"/>
            <w:vAlign w:val="bottom"/>
          </w:tcPr>
          <w:p>
            <w:pPr>
              <w:jc w:val="right"/>
              <w:ind w:right="431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3780" w:type="dxa"/>
            <w:vAlign w:val="bottom"/>
            <w:tcBorders>
              <w:bottom w:val="single" w:sz="8" w:color="auto"/>
            </w:tcBorders>
          </w:tcPr>
          <w:p>
            <w:pPr>
              <w:spacing w:after="0"/>
              <w:rPr>
                <w:sz w:val="9"/>
                <w:szCs w:val="9"/>
                <w:color w:val="auto"/>
              </w:rPr>
            </w:pPr>
          </w:p>
        </w:tc>
        <w:tc>
          <w:tcPr>
            <w:tcW w:w="6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Severance and Change in Control Arrangements</w:t>
      </w:r>
    </w:p>
    <w:p>
      <w:pPr>
        <w:spacing w:after="0" w:line="222" w:lineRule="exact"/>
        <w:rPr>
          <w:sz w:val="20"/>
          <w:szCs w:val="20"/>
          <w:color w:val="auto"/>
        </w:rPr>
      </w:pPr>
    </w:p>
    <w:p>
      <w:pPr>
        <w:ind w:right="20" w:firstLine="427"/>
        <w:spacing w:after="0" w:line="257" w:lineRule="auto"/>
        <w:rPr>
          <w:sz w:val="20"/>
          <w:szCs w:val="20"/>
          <w:color w:val="auto"/>
        </w:rPr>
      </w:pPr>
      <w:r>
        <w:rPr>
          <w:rFonts w:ascii="Times New Roman" w:cs="Times New Roman" w:eastAsia="Times New Roman" w:hAnsi="Times New Roman"/>
          <w:sz w:val="18"/>
          <w:szCs w:val="18"/>
          <w:color w:val="auto"/>
        </w:rPr>
        <w:t>Mr. Auerbach’s employment agreement and Messrs. Nougues’ and Ludwig’s employment letters provide that they are eligible to receive severance payments and benefits upon a qualifying involuntary termination of employment, including in connection with a change in control of our Company (as opposed to solely upon a “single-trigger” change in control). On May 8, 2025, Mr. Ludwig was terminated from the Company without cause and received the severance payments and benefits pursuant to his employment letter.</w:t>
      </w:r>
    </w:p>
    <w:p>
      <w:pPr>
        <w:spacing w:after="0" w:line="181" w:lineRule="exact"/>
        <w:rPr>
          <w:sz w:val="20"/>
          <w:szCs w:val="20"/>
          <w:color w:val="auto"/>
        </w:rPr>
      </w:pPr>
    </w:p>
    <w:p>
      <w:pPr>
        <w:ind w:right="60" w:firstLine="427"/>
        <w:spacing w:after="0" w:line="271" w:lineRule="auto"/>
        <w:rPr>
          <w:sz w:val="20"/>
          <w:szCs w:val="20"/>
          <w:color w:val="auto"/>
        </w:rPr>
      </w:pPr>
      <w:r>
        <w:rPr>
          <w:rFonts w:ascii="Times New Roman" w:cs="Times New Roman" w:eastAsia="Times New Roman" w:hAnsi="Times New Roman"/>
          <w:sz w:val="17"/>
          <w:szCs w:val="17"/>
          <w:color w:val="auto"/>
        </w:rPr>
        <w:t>We believe that these protections serve to encourage continued attention and dedication to duties without distraction arising from the possibility of a change in control and provide the business with a smooth transition in the event of such a termination of employment in connection with a transaction. These post-employment compensation arrangements are designed to retain certain of our Named Executive Officers in these key positions as we compete for talented executives in the marketplace where such protections are commonly offered. For a detailed description of the post-employment compensation arrangements contained in Mr. Auerbach’s employment agreement and Mr. Nougues’ employment letter, as well as the severance benefits and payments paid to Mr. Ludwig in connection with his termination of employment without cause, see “Potential Payments Upon Termination or Change in Control” below.</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Health and Welfare Benefits and Perquisites</w:t>
      </w:r>
    </w:p>
    <w:p>
      <w:pPr>
        <w:spacing w:after="0" w:line="222" w:lineRule="exact"/>
        <w:rPr>
          <w:sz w:val="20"/>
          <w:szCs w:val="20"/>
          <w:color w:val="auto"/>
        </w:rPr>
      </w:pPr>
    </w:p>
    <w:p>
      <w:pPr>
        <w:ind w:right="80" w:firstLine="427"/>
        <w:spacing w:after="0" w:line="254" w:lineRule="auto"/>
        <w:rPr>
          <w:sz w:val="20"/>
          <w:szCs w:val="20"/>
          <w:color w:val="auto"/>
        </w:rPr>
      </w:pPr>
      <w:r>
        <w:rPr>
          <w:rFonts w:ascii="Times New Roman" w:cs="Times New Roman" w:eastAsia="Times New Roman" w:hAnsi="Times New Roman"/>
          <w:sz w:val="18"/>
          <w:szCs w:val="18"/>
          <w:color w:val="auto"/>
        </w:rPr>
        <w:t>We provide our executive officers, including our Named Executive Officers, with long-term disability and long-term care insurance, and we reimburse them for physical examinations. All of our full-time employees in the United States, including our Named Executive Officers, are eligible to participate in our 401(k) plan. Pursuant to our 401(k) plan, employees may elect to reduce their current compensation by up to the statutorily prescribed annual limit, which was $23,500 in 2025, or $31,000 for employees age 50 and older, and to have the amount of this reduction contributed to our 401(k) plan. In addition, all of our full-time employees, including our Named Executive Officers, are eligible to participate in our health and welfare plans.</w:t>
      </w:r>
    </w:p>
    <w:p>
      <w:pPr>
        <w:spacing w:after="0" w:line="2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Prohibition on Hedging and Pledging</w:t>
      </w:r>
    </w:p>
    <w:p>
      <w:pPr>
        <w:spacing w:after="0" w:line="224" w:lineRule="exact"/>
        <w:rPr>
          <w:sz w:val="20"/>
          <w:szCs w:val="20"/>
          <w:color w:val="auto"/>
        </w:rPr>
      </w:pPr>
    </w:p>
    <w:p>
      <w:pPr>
        <w:ind w:firstLine="427"/>
        <w:spacing w:after="0" w:line="262" w:lineRule="auto"/>
        <w:rPr>
          <w:sz w:val="20"/>
          <w:szCs w:val="20"/>
          <w:color w:val="auto"/>
        </w:rPr>
      </w:pPr>
      <w:r>
        <w:rPr>
          <w:rFonts w:ascii="Times New Roman" w:cs="Times New Roman" w:eastAsia="Times New Roman" w:hAnsi="Times New Roman"/>
          <w:sz w:val="18"/>
          <w:szCs w:val="18"/>
          <w:color w:val="auto"/>
        </w:rPr>
        <w:t>We maintain an Insider Trading Compliance Policy that prohibits hedging by our officers, directors and employees, pledging of Company stock as collateral to secure loans, margin purchases of the Company’s stock, short sales of the Company’s stock, and any transactions in puts, calls or other derivative securities involving the Company’s stock.</w:t>
      </w:r>
    </w:p>
    <w:p>
      <w:pPr>
        <w:spacing w:after="0" w:line="200" w:lineRule="exact"/>
        <w:rPr>
          <w:sz w:val="20"/>
          <w:szCs w:val="20"/>
          <w:color w:val="auto"/>
        </w:rPr>
      </w:pPr>
    </w:p>
    <w:p>
      <w:pPr>
        <w:spacing w:after="0" w:line="2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224" w:lineRule="exact"/>
        <w:rPr>
          <w:sz w:val="20"/>
          <w:szCs w:val="20"/>
          <w:color w:val="auto"/>
        </w:rPr>
      </w:pPr>
    </w:p>
    <w:p>
      <w:pPr>
        <w:ind w:right="100" w:firstLine="427"/>
        <w:spacing w:after="0" w:line="257" w:lineRule="auto"/>
        <w:rPr>
          <w:sz w:val="20"/>
          <w:szCs w:val="20"/>
          <w:color w:val="auto"/>
        </w:rPr>
      </w:pPr>
      <w:r>
        <w:rPr>
          <w:rFonts w:ascii="Times New Roman" w:cs="Times New Roman" w:eastAsia="Times New Roman" w:hAnsi="Times New Roman"/>
          <w:sz w:val="18"/>
          <w:szCs w:val="18"/>
          <w:color w:val="auto"/>
        </w:rPr>
        <w:t>We maintain a compensation recovery policy that requires the recovery of certain erroneously paid incentive compensation received by our Section 16 officers on or after October 2, 2023 in the event the Company is required to prepare a financial restatement, as defined, as required by the SEC rules and NASDAQ listing standards implemented pursuant to the Dodd-Frank Wall Street Reform and Consumer Protection Act (the “Dodd-Frank Act”), and which can be recovered from time-vesting or performance-vesting equity compensation (in addition to other forms of incentive compensation).</w:t>
      </w:r>
    </w:p>
    <w:p>
      <w:pPr>
        <w:spacing w:after="0" w:line="200" w:lineRule="exact"/>
        <w:rPr>
          <w:sz w:val="20"/>
          <w:szCs w:val="20"/>
          <w:color w:val="auto"/>
        </w:rPr>
      </w:pP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Executive Stock Ownership Guidelines</w:t>
      </w:r>
    </w:p>
    <w:p>
      <w:pPr>
        <w:spacing w:after="0" w:line="224" w:lineRule="exact"/>
        <w:rPr>
          <w:sz w:val="20"/>
          <w:szCs w:val="20"/>
          <w:color w:val="auto"/>
        </w:rPr>
      </w:pPr>
    </w:p>
    <w:p>
      <w:pPr>
        <w:ind w:right="40" w:firstLine="427"/>
        <w:spacing w:after="0" w:line="284" w:lineRule="auto"/>
        <w:rPr>
          <w:sz w:val="20"/>
          <w:szCs w:val="20"/>
          <w:color w:val="auto"/>
        </w:rPr>
      </w:pPr>
      <w:r>
        <w:rPr>
          <w:rFonts w:ascii="Times New Roman" w:cs="Times New Roman" w:eastAsia="Times New Roman" w:hAnsi="Times New Roman"/>
          <w:sz w:val="17"/>
          <w:szCs w:val="17"/>
          <w:color w:val="auto"/>
        </w:rPr>
        <w:t>We maintain stock ownership guidelines covering our executive officers, including our Named Executive Officers. We believe that linking a significant portion of an executive officer’s current and potential future net worth to our success, as reflected in our share price, helps to ensure that they have a stake similar to that of our stockholders. Stock ownership guidelines also encourage long-term management of the Company for the benefit of its stockholders.</w:t>
      </w:r>
    </w:p>
    <w:p>
      <w:pPr>
        <w:spacing w:after="0" w:line="160" w:lineRule="exact"/>
        <w:rPr>
          <w:sz w:val="20"/>
          <w:szCs w:val="20"/>
          <w:color w:val="auto"/>
        </w:rPr>
      </w:pPr>
    </w:p>
    <w:p>
      <w:pPr>
        <w:jc w:val="both"/>
        <w:ind w:right="20" w:firstLine="427"/>
        <w:spacing w:after="0" w:line="262" w:lineRule="auto"/>
        <w:rPr>
          <w:sz w:val="20"/>
          <w:szCs w:val="20"/>
          <w:color w:val="auto"/>
        </w:rPr>
      </w:pPr>
      <w:r>
        <w:rPr>
          <w:rFonts w:ascii="Times New Roman" w:cs="Times New Roman" w:eastAsia="Times New Roman" w:hAnsi="Times New Roman"/>
          <w:sz w:val="18"/>
          <w:szCs w:val="18"/>
          <w:color w:val="auto"/>
        </w:rPr>
        <w:t>These guidelines require the covered individual to own an amount of our common stock with an aggregate market value equal to a specified multiple of their base salary. Each covered individual is expected to satisfy the applicable ownership requirement generally within five years after first becoming subject to the guidelines. The table below reflects the current ownership guidelines for executives: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530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8"/>
              </w:rPr>
              <w:t>Multiple of Base Salary</w:t>
            </w:r>
          </w:p>
        </w:tc>
      </w:tr>
      <w:tr>
        <w:trPr>
          <w:trHeight w:val="207"/>
        </w:trPr>
        <w:tc>
          <w:tcPr>
            <w:tcW w:w="5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530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color w:val="auto"/>
                <w:w w:val="97"/>
              </w:rPr>
              <w:t>3 x</w:t>
            </w:r>
          </w:p>
        </w:tc>
      </w:tr>
      <w:tr>
        <w:trPr>
          <w:trHeight w:val="207"/>
        </w:trPr>
        <w:tc>
          <w:tcPr>
            <w:tcW w:w="5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Executive Officers (other than the Chief Executive Officer)</w:t>
            </w:r>
          </w:p>
        </w:tc>
        <w:tc>
          <w:tcPr>
            <w:tcW w:w="530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color w:val="auto"/>
                <w:w w:val="97"/>
              </w:rPr>
              <w:t>1 x</w:t>
            </w:r>
          </w:p>
        </w:tc>
      </w:tr>
    </w:tbl>
    <w:p>
      <w:pPr>
        <w:spacing w:after="0" w:line="195" w:lineRule="exact"/>
        <w:rPr>
          <w:sz w:val="20"/>
          <w:szCs w:val="20"/>
          <w:color w:val="auto"/>
        </w:rPr>
      </w:pPr>
    </w:p>
    <w:p>
      <w:pPr>
        <w:ind w:right="60" w:firstLine="427"/>
        <w:spacing w:after="0" w:line="257" w:lineRule="auto"/>
        <w:rPr>
          <w:sz w:val="20"/>
          <w:szCs w:val="20"/>
          <w:color w:val="auto"/>
        </w:rPr>
      </w:pPr>
      <w:r>
        <w:rPr>
          <w:rFonts w:ascii="Times New Roman" w:cs="Times New Roman" w:eastAsia="Times New Roman" w:hAnsi="Times New Roman"/>
          <w:sz w:val="18"/>
          <w:szCs w:val="18"/>
          <w:color w:val="auto"/>
        </w:rPr>
        <w:t>The types of ownership arrangements counted towards the guidelines are: shares of our common stock, whether held individually, jointly, or in trust with or for the benefit of an immediate family member, shares held by a corporate entity in which the individual holds voting or disposal power over such shares, unvested restricted stock unit awards that vest solely based on the passage of time. As of December 31, 2025, each Named Executive Officer had met these ownership requirements.</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Tax and Accounting Considerations</w:t>
      </w:r>
    </w:p>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280G of the Code</w:t>
      </w:r>
    </w:p>
    <w:p>
      <w:pPr>
        <w:spacing w:after="0" w:line="222" w:lineRule="exact"/>
        <w:rPr>
          <w:sz w:val="20"/>
          <w:szCs w:val="20"/>
          <w:color w:val="auto"/>
        </w:rPr>
      </w:pPr>
    </w:p>
    <w:p>
      <w:pPr>
        <w:ind w:right="120" w:firstLine="427"/>
        <w:spacing w:after="0" w:line="253" w:lineRule="auto"/>
        <w:rPr>
          <w:sz w:val="20"/>
          <w:szCs w:val="20"/>
          <w:color w:val="auto"/>
        </w:rPr>
      </w:pPr>
      <w:r>
        <w:rPr>
          <w:rFonts w:ascii="Times New Roman" w:cs="Times New Roman" w:eastAsia="Times New Roman" w:hAnsi="Times New Roman"/>
          <w:sz w:val="18"/>
          <w:szCs w:val="18"/>
          <w:color w:val="auto"/>
        </w:rPr>
        <w:t>Section 280G of the Internal Revenue Code of 1986, as amended (the “Code”) disallows a tax deduction with respect to excess parachute payments to certain executives of companies that undergo a change in control. In addition, Section 4999 of the Code imposes a 20% excise tax on the individual with respect to the excess parachute payment. Parachute payments are compensation linked to or triggered by a change in control and may include, but are not limited to, bonus payments, severance payments, certain fringe benefits, and payments and acceleration of vesting from long-term incentive plans including stock options and other equity-based compensation. Excess parachute payments are parachute payments that exceed a threshold determined under Section 280G of the Code based on the executive’s prior compensation.</w:t>
      </w:r>
    </w:p>
    <w:p>
      <w:pPr>
        <w:sectPr>
          <w:pgSz w:w="11900" w:h="16838" w:orient="portrait"/>
          <w:cols w:equalWidth="0" w:num="1">
            <w:col w:w="11240"/>
          </w:cols>
          <w:pgMar w:left="320" w:top="121" w:right="339" w:bottom="1068"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068"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right="100" w:firstLine="427"/>
        <w:spacing w:after="0" w:line="284" w:lineRule="auto"/>
        <w:rPr>
          <w:sz w:val="20"/>
          <w:szCs w:val="20"/>
          <w:color w:val="auto"/>
        </w:rPr>
      </w:pPr>
      <w:r>
        <w:rPr>
          <w:rFonts w:ascii="Times New Roman" w:cs="Times New Roman" w:eastAsia="Times New Roman" w:hAnsi="Times New Roman"/>
          <w:sz w:val="17"/>
          <w:szCs w:val="17"/>
          <w:color w:val="auto"/>
        </w:rPr>
        <w:t>Under his employment agreement, Mr. Auerbach may be entitled to a gross-up payment that will make him whole in the event that any parachute payment excise taxes are imposed. We provide this protection to Mr. Auerbach to help ensure that he will be properly incentivized in the event of a potential change in control of the Company to maximize stockholder value in a transaction without concern for potential consequences of the transaction to him.</w:t>
      </w:r>
    </w:p>
    <w:p>
      <w:pPr>
        <w:spacing w:after="0" w:line="160" w:lineRule="exact"/>
        <w:rPr>
          <w:sz w:val="20"/>
          <w:szCs w:val="20"/>
          <w:color w:val="auto"/>
        </w:rPr>
      </w:pPr>
    </w:p>
    <w:p>
      <w:pPr>
        <w:ind w:right="140" w:firstLine="427"/>
        <w:spacing w:after="0" w:line="277" w:lineRule="auto"/>
        <w:rPr>
          <w:sz w:val="20"/>
          <w:szCs w:val="20"/>
          <w:color w:val="auto"/>
        </w:rPr>
      </w:pPr>
      <w:r>
        <w:rPr>
          <w:rFonts w:ascii="Times New Roman" w:cs="Times New Roman" w:eastAsia="Times New Roman" w:hAnsi="Times New Roman"/>
          <w:sz w:val="17"/>
          <w:szCs w:val="17"/>
          <w:color w:val="auto"/>
        </w:rPr>
        <w:t>In approving the compensation arrangements for our Named Executive Officers in the future, the Compensation Committee will consider all elements of the cost to the Company of providing such compensation, including the potential impact of Section 280G of the Code. However, the Compensation Committee may, in its judgment, authorize compensation arrangements that could give rise to loss of deductibility under Section 280G of the Code and the imposition of excise taxes under Section 4999 of the Code when it believes that such arrangements are appropriate to attract and retain executive talent.</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Accounting Standards</w:t>
      </w:r>
    </w:p>
    <w:p>
      <w:pPr>
        <w:spacing w:after="0" w:line="220" w:lineRule="exact"/>
        <w:rPr>
          <w:sz w:val="20"/>
          <w:szCs w:val="20"/>
          <w:color w:val="auto"/>
        </w:rPr>
      </w:pPr>
    </w:p>
    <w:p>
      <w:pPr>
        <w:ind w:firstLine="427"/>
        <w:spacing w:after="0" w:line="263" w:lineRule="auto"/>
        <w:rPr>
          <w:sz w:val="20"/>
          <w:szCs w:val="20"/>
          <w:color w:val="auto"/>
        </w:rPr>
      </w:pPr>
      <w:r>
        <w:rPr>
          <w:rFonts w:ascii="Times New Roman" w:cs="Times New Roman" w:eastAsia="Times New Roman" w:hAnsi="Times New Roman"/>
          <w:sz w:val="18"/>
          <w:szCs w:val="18"/>
          <w:color w:val="auto"/>
        </w:rPr>
        <w:t xml:space="preserve">ASC Topic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(“ASC 718”) requires us to recognize an expense for the fair value of equity-based compensation awards. Grants of stock options, restricted stock, performance shares and RSUs under our equity incentive award plans are accounted for under ASC 718.</w:t>
      </w:r>
    </w:p>
    <w:p>
      <w:pPr>
        <w:spacing w:after="0" w:line="175" w:lineRule="exact"/>
        <w:rPr>
          <w:sz w:val="20"/>
          <w:szCs w:val="20"/>
          <w:color w:val="auto"/>
        </w:rPr>
      </w:pPr>
    </w:p>
    <w:p>
      <w:pPr>
        <w:jc w:val="both"/>
        <w:ind w:right="320" w:firstLine="427"/>
        <w:spacing w:after="0" w:line="262" w:lineRule="auto"/>
        <w:rPr>
          <w:sz w:val="20"/>
          <w:szCs w:val="20"/>
          <w:color w:val="auto"/>
        </w:rPr>
      </w:pPr>
      <w:r>
        <w:rPr>
          <w:rFonts w:ascii="Times New Roman" w:cs="Times New Roman" w:eastAsia="Times New Roman" w:hAnsi="Times New Roman"/>
          <w:sz w:val="18"/>
          <w:szCs w:val="18"/>
          <w:color w:val="auto"/>
        </w:rPr>
        <w:t>The Compensation Committee regularly considers the accounting implications of significant compensation decisions, especially in connection with decisions that relate to our equity incentive award plans and programs. As accounting standards change, we may revise certain programs to appropriately align accounting expenses of our equity awards with our overall executive compensation philosophy and objectives.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4" w:lineRule="exact"/>
        <w:rPr>
          <w:sz w:val="20"/>
          <w:szCs w:val="20"/>
          <w:color w:val="auto"/>
        </w:rPr>
      </w:pPr>
    </w:p>
    <w:p>
      <w:pPr>
        <w:ind w:right="400" w:firstLine="427"/>
        <w:spacing w:after="0" w:line="277"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earned by our Named Executive Officers for the years ended December 31, 2025, 2024 and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Non-Equity</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Incentive Plan</w:t>
            </w:r>
          </w:p>
        </w:tc>
        <w:tc>
          <w:tcPr>
            <w:tcW w:w="10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Bonus</w:t>
            </w:r>
            <w:r>
              <w:rPr>
                <w:rFonts w:ascii="Times New Roman" w:cs="Times New Roman" w:eastAsia="Times New Roman" w:hAnsi="Times New Roman"/>
                <w:sz w:val="26"/>
                <w:szCs w:val="26"/>
                <w:b w:val="1"/>
                <w:bCs w:val="1"/>
                <w:color w:val="auto"/>
                <w:w w:val="95"/>
                <w:vertAlign w:val="superscript"/>
              </w:rPr>
              <w:t>(1)</w:t>
            </w:r>
            <w:r>
              <w:rPr>
                <w:rFonts w:ascii="Times New Roman" w:cs="Times New Roman" w:eastAsia="Times New Roman" w:hAnsi="Times New Roman"/>
                <w:sz w:val="16"/>
                <w:szCs w:val="16"/>
                <w:b w:val="1"/>
                <w:bCs w:val="1"/>
                <w:color w:val="auto"/>
                <w:w w:val="95"/>
              </w:rPr>
              <w:t xml:space="preserve"> </w:t>
            </w:r>
            <w:r>
              <w:rPr>
                <w:rFonts w:ascii="Times New Roman" w:cs="Times New Roman" w:eastAsia="Times New Roman" w:hAnsi="Times New Roman"/>
                <w:sz w:val="16"/>
                <w:szCs w:val="16"/>
                <w:b w:val="1"/>
                <w:bCs w:val="1"/>
                <w:u w:val="single" w:color="auto"/>
                <w:color w:val="auto"/>
                <w:w w:val="95"/>
              </w:rPr>
              <w:t>($</w:t>
            </w:r>
            <w:r>
              <w:rPr>
                <w:rFonts w:ascii="Times New Roman" w:cs="Times New Roman" w:eastAsia="Times New Roman" w:hAnsi="Times New Roman"/>
                <w:sz w:val="16"/>
                <w:szCs w:val="16"/>
                <w:b w:val="1"/>
                <w:bCs w:val="1"/>
                <w:color w:val="auto"/>
                <w:w w:val="95"/>
              </w:rPr>
              <w:t>)</w:t>
            </w:r>
          </w:p>
        </w:tc>
        <w:tc>
          <w:tcPr>
            <w:tcW w:w="220" w:type="dxa"/>
            <w:vAlign w:val="bottom"/>
          </w:tcPr>
          <w:p>
            <w:pPr>
              <w:spacing w:after="0"/>
              <w:rPr>
                <w:sz w:val="17"/>
                <w:szCs w:val="17"/>
                <w:color w:val="auto"/>
              </w:rPr>
            </w:pPr>
          </w:p>
        </w:tc>
        <w:tc>
          <w:tcPr>
            <w:tcW w:w="1080" w:type="dxa"/>
            <w:vAlign w:val="bottom"/>
            <w:gridSpan w:val="2"/>
          </w:tcPr>
          <w:p>
            <w:pPr>
              <w:jc w:val="center"/>
              <w:ind w:right="220"/>
              <w:spacing w:after="0" w:line="201" w:lineRule="exact"/>
              <w:rPr>
                <w:sz w:val="20"/>
                <w:szCs w:val="20"/>
                <w:color w:val="auto"/>
              </w:rPr>
            </w:pPr>
            <w:r>
              <w:rPr>
                <w:rFonts w:ascii="Times New Roman" w:cs="Times New Roman" w:eastAsia="Times New Roman" w:hAnsi="Times New Roman"/>
                <w:sz w:val="15"/>
                <w:szCs w:val="15"/>
                <w:b w:val="1"/>
                <w:bCs w:val="1"/>
                <w:color w:val="auto"/>
                <w:w w:val="97"/>
              </w:rPr>
              <w:t>Awards</w:t>
            </w:r>
            <w:r>
              <w:rPr>
                <w:rFonts w:ascii="Times New Roman" w:cs="Times New Roman" w:eastAsia="Times New Roman" w:hAnsi="Times New Roman"/>
                <w:sz w:val="23"/>
                <w:szCs w:val="23"/>
                <w:b w:val="1"/>
                <w:bCs w:val="1"/>
                <w:color w:val="auto"/>
                <w:w w:val="97"/>
                <w:vertAlign w:val="superscript"/>
              </w:rPr>
              <w:t>(2)</w:t>
            </w:r>
          </w:p>
        </w:tc>
        <w:tc>
          <w:tcPr>
            <w:tcW w:w="100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5"/>
                <w:szCs w:val="15"/>
                <w:b w:val="1"/>
                <w:bCs w:val="1"/>
                <w:color w:val="auto"/>
              </w:rPr>
              <w:t>Awards</w:t>
            </w:r>
            <w:r>
              <w:rPr>
                <w:rFonts w:ascii="Times New Roman" w:cs="Times New Roman" w:eastAsia="Times New Roman" w:hAnsi="Times New Roman"/>
                <w:sz w:val="23"/>
                <w:szCs w:val="23"/>
                <w:b w:val="1"/>
                <w:bCs w:val="1"/>
                <w:color w:val="auto"/>
                <w:vertAlign w:val="superscript"/>
              </w:rPr>
              <w:t>(3)</w:t>
            </w:r>
          </w:p>
        </w:tc>
        <w:tc>
          <w:tcPr>
            <w:tcW w:w="1340" w:type="dxa"/>
            <w:vAlign w:val="bottom"/>
            <w:gridSpan w:val="3"/>
          </w:tcPr>
          <w:p>
            <w:pPr>
              <w:jc w:val="center"/>
              <w:spacing w:after="0" w:line="201" w:lineRule="exact"/>
              <w:rPr>
                <w:sz w:val="20"/>
                <w:szCs w:val="20"/>
                <w:color w:val="auto"/>
              </w:rPr>
            </w:pPr>
            <w:r>
              <w:rPr>
                <w:rFonts w:ascii="Times New Roman" w:cs="Times New Roman" w:eastAsia="Times New Roman" w:hAnsi="Times New Roman"/>
                <w:sz w:val="15"/>
                <w:szCs w:val="15"/>
                <w:b w:val="1"/>
                <w:bCs w:val="1"/>
                <w:color w:val="auto"/>
              </w:rPr>
              <w:t>Compensation</w:t>
            </w:r>
            <w:r>
              <w:rPr>
                <w:rFonts w:ascii="Times New Roman" w:cs="Times New Roman" w:eastAsia="Times New Roman" w:hAnsi="Times New Roman"/>
                <w:sz w:val="23"/>
                <w:szCs w:val="23"/>
                <w:b w:val="1"/>
                <w:bCs w:val="1"/>
                <w:color w:val="auto"/>
                <w:vertAlign w:val="superscript"/>
              </w:rPr>
              <w:t>(4)</w:t>
            </w:r>
          </w:p>
        </w:tc>
        <w:tc>
          <w:tcPr>
            <w:tcW w:w="1460" w:type="dxa"/>
            <w:vAlign w:val="bottom"/>
            <w:gridSpan w:val="3"/>
          </w:tcPr>
          <w:p>
            <w:pPr>
              <w:jc w:val="center"/>
              <w:ind w:right="120"/>
              <w:spacing w:after="0" w:line="201" w:lineRule="exact"/>
              <w:rPr>
                <w:sz w:val="20"/>
                <w:szCs w:val="20"/>
                <w:color w:val="auto"/>
              </w:rPr>
            </w:pPr>
            <w:r>
              <w:rPr>
                <w:rFonts w:ascii="Times New Roman" w:cs="Times New Roman" w:eastAsia="Times New Roman" w:hAnsi="Times New Roman"/>
                <w:sz w:val="15"/>
                <w:szCs w:val="15"/>
                <w:b w:val="1"/>
                <w:bCs w:val="1"/>
                <w:color w:val="auto"/>
              </w:rPr>
              <w:t>Compensation</w:t>
            </w:r>
            <w:r>
              <w:rPr>
                <w:rFonts w:ascii="Times New Roman" w:cs="Times New Roman" w:eastAsia="Times New Roman" w:hAnsi="Times New Roman"/>
                <w:sz w:val="23"/>
                <w:szCs w:val="23"/>
                <w:b w:val="1"/>
                <w:bCs w:val="1"/>
                <w:color w:val="auto"/>
                <w:vertAlign w:val="superscript"/>
              </w:rPr>
              <w:t>(5)</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00" w:type="dxa"/>
            <w:vAlign w:val="bottom"/>
          </w:tcPr>
          <w:p>
            <w:pPr>
              <w:spacing w:after="0"/>
              <w:rPr>
                <w:sz w:val="18"/>
                <w:szCs w:val="18"/>
                <w:color w:val="auto"/>
              </w:rPr>
            </w:pPr>
          </w:p>
        </w:tc>
        <w:tc>
          <w:tcPr>
            <w:tcW w:w="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0" w:type="dxa"/>
            <w:vAlign w:val="bottom"/>
          </w:tcPr>
          <w:p>
            <w:pPr>
              <w:spacing w:after="0"/>
              <w:rPr>
                <w:sz w:val="18"/>
                <w:szCs w:val="18"/>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Salary ($)</w:t>
            </w:r>
          </w:p>
        </w:tc>
        <w:tc>
          <w:tcPr>
            <w:tcW w:w="220" w:type="dxa"/>
            <w:vAlign w:val="bottom"/>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Total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Alan H. Auerbach</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2025</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931,333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551,549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535,513</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1,027,307</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16,635</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3,062,337</w:t>
            </w:r>
          </w:p>
        </w:tc>
        <w:tc>
          <w:tcPr>
            <w:tcW w:w="0" w:type="dxa"/>
            <w:vAlign w:val="bottom"/>
          </w:tcPr>
          <w:p>
            <w:pPr>
              <w:spacing w:after="0"/>
              <w:rPr>
                <w:sz w:val="1"/>
                <w:szCs w:val="1"/>
                <w:color w:val="auto"/>
              </w:rPr>
            </w:pPr>
          </w:p>
        </w:tc>
      </w:tr>
      <w:tr>
        <w:trPr>
          <w:trHeight w:val="20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2024</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904,207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1,055,548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1,055,354</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938,612</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16,210</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3,969,931</w:t>
            </w:r>
          </w:p>
        </w:tc>
        <w:tc>
          <w:tcPr>
            <w:tcW w:w="0" w:type="dxa"/>
            <w:vAlign w:val="bottom"/>
          </w:tcPr>
          <w:p>
            <w:pPr>
              <w:spacing w:after="0"/>
              <w:rPr>
                <w:sz w:val="1"/>
                <w:szCs w:val="1"/>
                <w:color w:val="auto"/>
              </w:rPr>
            </w:pPr>
          </w:p>
        </w:tc>
      </w:tr>
      <w:tr>
        <w:trPr>
          <w:trHeight w:val="200"/>
        </w:trPr>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2023</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877,871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818,309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821,842</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407,991</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18,735</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2,944,748</w:t>
            </w:r>
          </w:p>
        </w:tc>
        <w:tc>
          <w:tcPr>
            <w:tcW w:w="0" w:type="dxa"/>
            <w:vAlign w:val="bottom"/>
          </w:tcPr>
          <w:p>
            <w:pPr>
              <w:spacing w:after="0"/>
              <w:rPr>
                <w:sz w:val="1"/>
                <w:szCs w:val="1"/>
                <w:color w:val="auto"/>
              </w:rPr>
            </w:pPr>
          </w:p>
        </w:tc>
      </w:tr>
      <w:tr>
        <w:trPr>
          <w:trHeight w:val="186"/>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Maximo F. Nougues</w:t>
            </w:r>
          </w:p>
        </w:tc>
        <w:tc>
          <w:tcPr>
            <w:tcW w:w="10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2025</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562,961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130,607</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170,848</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165,881</w:t>
            </w:r>
          </w:p>
        </w:tc>
        <w:tc>
          <w:tcPr>
            <w:tcW w:w="12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191,069</w:t>
            </w:r>
          </w:p>
        </w:tc>
        <w:tc>
          <w:tcPr>
            <w:tcW w:w="1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19,849</w:t>
            </w:r>
          </w:p>
        </w:tc>
        <w:tc>
          <w:tcPr>
            <w:tcW w:w="22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1,241,215</w:t>
            </w:r>
          </w:p>
        </w:tc>
        <w:tc>
          <w:tcPr>
            <w:tcW w:w="0" w:type="dxa"/>
            <w:vAlign w:val="bottom"/>
          </w:tcPr>
          <w:p>
            <w:pPr>
              <w:spacing w:after="0"/>
              <w:rPr>
                <w:sz w:val="1"/>
                <w:szCs w:val="1"/>
                <w:color w:val="auto"/>
              </w:rPr>
            </w:pPr>
          </w:p>
        </w:tc>
      </w:tr>
      <w:tr>
        <w:trPr>
          <w:trHeight w:val="200"/>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2024</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538,719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123,905</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275,433</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275,392</w:t>
            </w:r>
          </w:p>
        </w:tc>
        <w:tc>
          <w:tcPr>
            <w:tcW w:w="1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172,067</w:t>
            </w:r>
          </w:p>
        </w:tc>
        <w:tc>
          <w:tcPr>
            <w:tcW w:w="1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19,462</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1,404,978</w:t>
            </w:r>
          </w:p>
        </w:tc>
        <w:tc>
          <w:tcPr>
            <w:tcW w:w="0" w:type="dxa"/>
            <w:vAlign w:val="bottom"/>
          </w:tcPr>
          <w:p>
            <w:pPr>
              <w:spacing w:after="0"/>
              <w:rPr>
                <w:sz w:val="1"/>
                <w:szCs w:val="1"/>
                <w:color w:val="auto"/>
              </w:rPr>
            </w:pPr>
          </w:p>
        </w:tc>
      </w:tr>
      <w:tr>
        <w:trPr>
          <w:trHeight w:val="211"/>
        </w:trPr>
        <w:tc>
          <w:tcPr>
            <w:tcW w:w="260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2023</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515,521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108,259</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257,258</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258,366</w:t>
            </w: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73,720</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18,702</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1,231,826</w:t>
            </w: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Jeff J. Ludwig (6)</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2025</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264,880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132,998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949,159</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1,476,167</w:t>
            </w:r>
          </w:p>
        </w:tc>
        <w:tc>
          <w:tcPr>
            <w:tcW w:w="0" w:type="dxa"/>
            <w:vAlign w:val="bottom"/>
          </w:tcPr>
          <w:p>
            <w:pPr>
              <w:spacing w:after="0"/>
              <w:rPr>
                <w:sz w:val="1"/>
                <w:szCs w:val="1"/>
                <w:color w:val="auto"/>
              </w:rPr>
            </w:pPr>
          </w:p>
        </w:tc>
      </w:tr>
      <w:tr>
        <w:trPr>
          <w:trHeight w:val="20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Commercial Officer</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2024</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608,499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60,850</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172,146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172,119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194,355</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20,320</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1,228,288</w:t>
            </w:r>
          </w:p>
        </w:tc>
        <w:tc>
          <w:tcPr>
            <w:tcW w:w="0" w:type="dxa"/>
            <w:vAlign w:val="bottom"/>
          </w:tcPr>
          <w:p>
            <w:pPr>
              <w:spacing w:after="0"/>
              <w:rPr>
                <w:sz w:val="1"/>
                <w:szCs w:val="1"/>
                <w:color w:val="auto"/>
              </w:rPr>
            </w:pPr>
          </w:p>
        </w:tc>
      </w:tr>
      <w:tr>
        <w:trPr>
          <w:trHeight w:val="200"/>
        </w:trPr>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2023</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596,568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77,554</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294,007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295,277</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85,309</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33,134</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1,381,848</w:t>
            </w:r>
          </w:p>
        </w:tc>
        <w:tc>
          <w:tcPr>
            <w:tcW w:w="0" w:type="dxa"/>
            <w:vAlign w:val="bottom"/>
          </w:tcPr>
          <w:p>
            <w:pPr>
              <w:spacing w:after="0"/>
              <w:rPr>
                <w:sz w:val="1"/>
                <w:szCs w:val="1"/>
                <w:color w:val="auto"/>
              </w:rPr>
            </w:pPr>
          </w:p>
        </w:tc>
      </w:tr>
      <w:tr>
        <w:trPr>
          <w:trHeight w:val="200"/>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Douglas Hunt, B.Sc. (Hons)</w:t>
            </w:r>
          </w:p>
        </w:tc>
        <w:tc>
          <w:tcPr>
            <w:tcW w:w="10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2025</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489,060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122,265</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133,765</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129,878</w:t>
            </w:r>
          </w:p>
        </w:tc>
        <w:tc>
          <w:tcPr>
            <w:tcW w:w="1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165,987</w:t>
            </w:r>
          </w:p>
        </w:tc>
        <w:tc>
          <w:tcPr>
            <w:tcW w:w="1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20,445</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1,061,400</w:t>
            </w:r>
          </w:p>
        </w:tc>
        <w:tc>
          <w:tcPr>
            <w:tcW w:w="0" w:type="dxa"/>
            <w:vAlign w:val="bottom"/>
          </w:tcPr>
          <w:p>
            <w:pPr>
              <w:spacing w:after="0"/>
              <w:rPr>
                <w:sz w:val="1"/>
                <w:szCs w:val="1"/>
                <w:color w:val="auto"/>
              </w:rPr>
            </w:pPr>
          </w:p>
        </w:tc>
      </w:tr>
      <w:tr>
        <w:trPr>
          <w:trHeight w:val="18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Regulatory Affairs, Medical</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Affairs,</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2024</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461,892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106,235</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241,006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240,965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147,528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1,217,501</w:t>
            </w:r>
          </w:p>
        </w:tc>
        <w:tc>
          <w:tcPr>
            <w:tcW w:w="0" w:type="dxa"/>
            <w:vAlign w:val="bottom"/>
          </w:tcPr>
          <w:p>
            <w:pPr>
              <w:spacing w:after="0"/>
              <w:rPr>
                <w:sz w:val="1"/>
                <w:szCs w:val="1"/>
                <w:color w:val="auto"/>
              </w:rPr>
            </w:pPr>
          </w:p>
        </w:tc>
      </w:tr>
      <w:tr>
        <w:trPr>
          <w:trHeight w:val="209"/>
        </w:trPr>
        <w:tc>
          <w:tcPr>
            <w:tcW w:w="2600" w:type="dxa"/>
            <w:vAlign w:val="bottom"/>
          </w:tcPr>
          <w:p>
            <w:pPr>
              <w:spacing w:after="0"/>
              <w:rPr>
                <w:sz w:val="20"/>
                <w:szCs w:val="20"/>
                <w:color w:val="auto"/>
              </w:rPr>
            </w:pPr>
            <w:r>
              <w:rPr>
                <w:rFonts w:ascii="Times New Roman" w:cs="Times New Roman" w:eastAsia="Times New Roman" w:hAnsi="Times New Roman"/>
                <w:sz w:val="16"/>
                <w:szCs w:val="16"/>
                <w:color w:val="auto"/>
              </w:rPr>
              <w:t>and Pharmacovigilance Officer</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2023</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428,026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89,885</w:t>
            </w: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211,317</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212,231</w:t>
            </w: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61,208</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18,886</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1,021,553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40" w:right="40" w:hanging="233"/>
        <w:spacing w:after="0" w:line="258" w:lineRule="auto"/>
        <w:tabs>
          <w:tab w:leader="none" w:pos="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discretionary portion of the annual short-term incentive compensation paid to the Named Executive Officers based on individual achievement during the applicable fiscal year.</w:t>
      </w:r>
    </w:p>
    <w:p>
      <w:pPr>
        <w:ind w:left="240" w:right="180" w:hanging="233"/>
        <w:spacing w:after="0" w:line="247" w:lineRule="auto"/>
        <w:tabs>
          <w:tab w:leader="none" w:pos="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values of RSUs granted during the applicable year determined in accordance with ASC 718, excluding the effect of estimated forfeitures. The closing stock price of our common stock on the February 7, 2025 date of grant was $2.78. For a discussion of valuation assumptions for the stock awards granted to the Named Executive Officers, see Note 10 to our 2025 Consolidated Financial Statements included in our Annual Report on Form 10-K for the year ended December 31, 2025 filed with the SEC on February 26, 2026. There can be no assurance that this value will be realized upon any vesting, or that the awards will vest (if an award does not vest, no value will be realized by the individual).</w:t>
      </w:r>
    </w:p>
    <w:p>
      <w:pPr>
        <w:spacing w:after="0" w:line="2" w:lineRule="exact"/>
        <w:rPr>
          <w:rFonts w:ascii="Times New Roman" w:cs="Times New Roman" w:eastAsia="Times New Roman" w:hAnsi="Times New Roman"/>
          <w:sz w:val="18"/>
          <w:szCs w:val="18"/>
          <w:color w:val="auto"/>
        </w:rPr>
      </w:pPr>
    </w:p>
    <w:p>
      <w:pPr>
        <w:ind w:left="240" w:right="80" w:hanging="233"/>
        <w:spacing w:after="0" w:line="247" w:lineRule="auto"/>
        <w:tabs>
          <w:tab w:leader="none" w:pos="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values of stock options granted during the applicable year determined in accordance with ASC 718, excluding the effect of estimated forfeitures. The closing stock price of our common stock on the February 7, 2025 date of grant was $2.78. For a discussion of valuation assumptions for the stock option grants, see Note 10 to our 2025 Consolidated Financial Statements included in our Annual Report on Form 10-K for the year ended December 31, 2025 filed with the SEC on February 26, 2026. There can be no assurance that awards will vest or will be exercised (if they are not exercised, no value will be realized by the individual), or that the value upon exercise will approximate the aggregate grant date fair value determined under ASC 718.</w:t>
      </w:r>
    </w:p>
    <w:p>
      <w:pPr>
        <w:spacing w:after="0" w:line="2" w:lineRule="exact"/>
        <w:rPr>
          <w:rFonts w:ascii="Times New Roman" w:cs="Times New Roman" w:eastAsia="Times New Roman" w:hAnsi="Times New Roman"/>
          <w:sz w:val="18"/>
          <w:szCs w:val="18"/>
          <w:color w:val="auto"/>
        </w:rPr>
      </w:pPr>
    </w:p>
    <w:p>
      <w:pPr>
        <w:ind w:left="240" w:right="480" w:hanging="233"/>
        <w:spacing w:after="0" w:line="247" w:lineRule="auto"/>
        <w:tabs>
          <w:tab w:leader="none" w:pos="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portion of the annual short-term incentive compensation award payments for the applicable year earned under the Corporate Performance Portion of our annual short-term incentive compensation program.</w:t>
      </w:r>
    </w:p>
    <w:p>
      <w:pPr>
        <w:ind w:left="240" w:right="40" w:hanging="233"/>
        <w:spacing w:after="0" w:line="247" w:lineRule="auto"/>
        <w:tabs>
          <w:tab w:leader="none" w:pos="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Messrs. Auerbach, Nougues, Ludwig and Hunt, represents long-term disability and long-term care insurance premiums paid by us in the amounts of $1,735, $1,697, $1075, and $2,245, respectively, for 2025. For Messrs. Auerbach, Nougues, Ludwig, and Hunt, represents matching contributions to our 401(k) plan made by us in 2025 the amount of $14,000 for each of the Named Executive Officers. For Messrs. Auerbach, Nougues, and Hunt, represents allowances for work-from-home expenses paid by us in the amount of $900 each, for 2025, and $300 paid by us to Mr. Ludwig. For Messrs. Nougues and Hunt, represents annual physicals paid by us in the amounts of $3,252 and $3,300, respectively, for 2025. For Mr. Ludwig, includes a severance payment of $868,937 plus continued healthcare coverage at our cost of $64,847 in connection with his termination of employment without cause pursuant to the terms of his employment letter.</w:t>
      </w:r>
    </w:p>
    <w:p>
      <w:pPr>
        <w:spacing w:after="0" w:line="3" w:lineRule="exact"/>
        <w:rPr>
          <w:rFonts w:ascii="Times New Roman" w:cs="Times New Roman" w:eastAsia="Times New Roman" w:hAnsi="Times New Roman"/>
          <w:sz w:val="18"/>
          <w:szCs w:val="18"/>
          <w:color w:val="auto"/>
        </w:rPr>
      </w:pPr>
    </w:p>
    <w:p>
      <w:pPr>
        <w:ind w:left="240" w:right="200" w:hanging="233"/>
        <w:spacing w:after="0" w:line="255" w:lineRule="auto"/>
        <w:tabs>
          <w:tab w:leader="none" w:pos="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Ludwig’s employment terminated May 8, 2025. All equity awards granted in 2025 were forfeited in connection with his termination. See footnote 5 for severance payments and benefits made in connection with his termination.</w:t>
      </w:r>
    </w:p>
    <w:p>
      <w:pPr>
        <w:sectPr>
          <w:pgSz w:w="11900" w:h="16838" w:orient="portrait"/>
          <w:cols w:equalWidth="0" w:num="1">
            <w:col w:w="11240"/>
          </w:cols>
          <w:pgMar w:left="320" w:top="121"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in 2025</w:t>
      </w:r>
    </w:p>
    <w:p>
      <w:pPr>
        <w:spacing w:after="0" w:line="224" w:lineRule="exact"/>
        <w:rPr>
          <w:sz w:val="20"/>
          <w:szCs w:val="20"/>
          <w:color w:val="auto"/>
        </w:rPr>
      </w:pPr>
    </w:p>
    <w:p>
      <w:pPr>
        <w:ind w:right="640" w:firstLine="427"/>
        <w:spacing w:after="0" w:line="277" w:lineRule="auto"/>
        <w:rPr>
          <w:sz w:val="20"/>
          <w:szCs w:val="20"/>
          <w:color w:val="auto"/>
        </w:rPr>
      </w:pPr>
      <w:r>
        <w:rPr>
          <w:rFonts w:ascii="Times New Roman" w:cs="Times New Roman" w:eastAsia="Times New Roman" w:hAnsi="Times New Roman"/>
          <w:sz w:val="18"/>
          <w:szCs w:val="18"/>
          <w:color w:val="auto"/>
        </w:rPr>
        <w:t>The following table sets forth information regarding grants of plan-based awards made to our Named Executive Officers during the year ended December 31, 2025.</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6"/>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Estimated Future Payouts Under Non-</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Exercise or</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0" w:type="dxa"/>
            <w:vAlign w:val="bottom"/>
          </w:tcPr>
          <w:p>
            <w:pPr>
              <w:spacing w:after="0"/>
              <w:rPr>
                <w:sz w:val="1"/>
                <w:szCs w:val="1"/>
                <w:color w:val="auto"/>
              </w:rPr>
            </w:pPr>
          </w:p>
        </w:tc>
      </w:tr>
      <w:tr>
        <w:trPr>
          <w:trHeight w:val="200"/>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gridSpan w:val="6"/>
            <w:vMerge w:val="continue"/>
          </w:tcPr>
          <w:p>
            <w:pPr>
              <w:spacing w:after="0"/>
              <w:rPr>
                <w:sz w:val="17"/>
                <w:szCs w:val="17"/>
                <w:color w:val="auto"/>
              </w:rPr>
            </w:pPr>
          </w:p>
        </w:tc>
        <w:tc>
          <w:tcPr>
            <w:tcW w:w="1080" w:type="dxa"/>
            <w:vAlign w:val="bottom"/>
            <w:gridSpan w:val="2"/>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6"/>
              </w:rPr>
              <w:t>Awards:</w:t>
            </w:r>
          </w:p>
        </w:tc>
        <w:tc>
          <w:tcPr>
            <w:tcW w:w="1100" w:type="dxa"/>
            <w:vAlign w:val="bottom"/>
            <w:gridSpan w:val="2"/>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Base Price</w:t>
            </w:r>
          </w:p>
        </w:tc>
        <w:tc>
          <w:tcPr>
            <w:tcW w:w="980" w:type="dxa"/>
            <w:vAlign w:val="bottom"/>
            <w:gridSpan w:val="2"/>
          </w:tcPr>
          <w:p>
            <w:pPr>
              <w:jc w:val="center"/>
              <w:ind w:right="100"/>
              <w:spacing w:after="0" w:line="201"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36"/>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Equity Incentive Plan Awards(1)</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of Option</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0" w:type="dxa"/>
            <w:vAlign w:val="bottom"/>
          </w:tcPr>
          <w:p>
            <w:pPr>
              <w:spacing w:after="0"/>
              <w:rPr>
                <w:sz w:val="1"/>
                <w:szCs w:val="1"/>
                <w:color w:val="auto"/>
              </w:rPr>
            </w:pPr>
          </w:p>
        </w:tc>
      </w:tr>
      <w:tr>
        <w:trPr>
          <w:trHeight w:val="193"/>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Underlying</w:t>
            </w:r>
          </w:p>
        </w:tc>
        <w:tc>
          <w:tcPr>
            <w:tcW w:w="110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6"/>
              </w:rPr>
              <w:t>Awards</w:t>
            </w:r>
          </w:p>
        </w:tc>
        <w:tc>
          <w:tcPr>
            <w:tcW w:w="98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and Option</w:t>
            </w:r>
          </w:p>
        </w:tc>
        <w:tc>
          <w:tcPr>
            <w:tcW w:w="0" w:type="dxa"/>
            <w:vAlign w:val="bottom"/>
          </w:tcPr>
          <w:p>
            <w:pPr>
              <w:spacing w:after="0"/>
              <w:rPr>
                <w:sz w:val="1"/>
                <w:szCs w:val="1"/>
                <w:color w:val="auto"/>
              </w:rPr>
            </w:pPr>
          </w:p>
        </w:tc>
      </w:tr>
      <w:tr>
        <w:trPr>
          <w:trHeight w:val="213"/>
        </w:trPr>
        <w:tc>
          <w:tcPr>
            <w:tcW w:w="2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18"/>
                <w:szCs w:val="18"/>
                <w:color w:val="auto"/>
              </w:rPr>
            </w:pPr>
          </w:p>
        </w:tc>
        <w:tc>
          <w:tcPr>
            <w:tcW w:w="1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vMerge w:val="restart"/>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xml:space="preserve">Target </w:t>
            </w: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w:t>
            </w:r>
          </w:p>
        </w:tc>
        <w:tc>
          <w:tcPr>
            <w:tcW w:w="220" w:type="dxa"/>
            <w:vAlign w:val="bottom"/>
            <w:vMerge w:val="restart"/>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Shares or</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Awards ($)</w:t>
            </w:r>
          </w:p>
        </w:tc>
        <w:tc>
          <w:tcPr>
            <w:tcW w:w="0" w:type="dxa"/>
            <w:vAlign w:val="bottom"/>
          </w:tcPr>
          <w:p>
            <w:pPr>
              <w:spacing w:after="0"/>
              <w:rPr>
                <w:sz w:val="1"/>
                <w:szCs w:val="1"/>
                <w:color w:val="auto"/>
              </w:rPr>
            </w:pPr>
          </w:p>
        </w:tc>
      </w:tr>
      <w:tr>
        <w:trPr>
          <w:trHeight w:val="227"/>
        </w:trPr>
        <w:tc>
          <w:tcPr>
            <w:tcW w:w="24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center"/>
              <w:spacing w:after="0" w:line="227" w:lineRule="exact"/>
              <w:rPr>
                <w:sz w:val="20"/>
                <w:szCs w:val="20"/>
                <w:color w:val="auto"/>
              </w:rPr>
            </w:pPr>
            <w:r>
              <w:rPr>
                <w:rFonts w:ascii="Times New Roman" w:cs="Times New Roman" w:eastAsia="Times New Roman" w:hAnsi="Times New Roman"/>
                <w:sz w:val="16"/>
                <w:szCs w:val="16"/>
                <w:b w:val="1"/>
                <w:bCs w:val="1"/>
                <w:color w:val="auto"/>
              </w:rPr>
              <w:t xml:space="preserve">Units (#) </w:t>
            </w:r>
            <w:r>
              <w:rPr>
                <w:rFonts w:ascii="Times New Roman" w:cs="Times New Roman" w:eastAsia="Times New Roman" w:hAnsi="Times New Roman"/>
                <w:sz w:val="26"/>
                <w:szCs w:val="26"/>
                <w:b w:val="1"/>
                <w:bCs w:val="1"/>
                <w:color w:val="auto"/>
                <w:vertAlign w:val="superscript"/>
              </w:rPr>
              <w:t>(2)</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(3)</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H. Auerbach</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2/7/2025</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274,622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535,513</w:t>
            </w:r>
          </w:p>
        </w:tc>
        <w:tc>
          <w:tcPr>
            <w:tcW w:w="0" w:type="dxa"/>
            <w:vAlign w:val="bottom"/>
          </w:tcPr>
          <w:p>
            <w:pPr>
              <w:spacing w:after="0"/>
              <w:rPr>
                <w:sz w:val="1"/>
                <w:szCs w:val="1"/>
                <w:color w:val="auto"/>
              </w:rPr>
            </w:pPr>
          </w:p>
        </w:tc>
      </w:tr>
      <w:tr>
        <w:trPr>
          <w:trHeight w:val="213"/>
        </w:trPr>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2/7/2025</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198,399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551,549</w:t>
            </w:r>
          </w:p>
        </w:tc>
        <w:tc>
          <w:tcPr>
            <w:tcW w:w="0" w:type="dxa"/>
            <w:vAlign w:val="bottom"/>
          </w:tcPr>
          <w:p>
            <w:pPr>
              <w:spacing w:after="0"/>
              <w:rPr>
                <w:sz w:val="1"/>
                <w:szCs w:val="1"/>
                <w:color w:val="auto"/>
              </w:rPr>
            </w:pPr>
          </w:p>
        </w:tc>
      </w:tr>
      <w:tr>
        <w:trPr>
          <w:trHeight w:val="213"/>
        </w:trPr>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605,366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1,210,733</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24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Maximo F. Nougues</w:t>
            </w:r>
          </w:p>
        </w:tc>
        <w:tc>
          <w:tcPr>
            <w:tcW w:w="100" w:type="dxa"/>
            <w:vAlign w:val="bottom"/>
          </w:tcPr>
          <w:p>
            <w:pPr>
              <w:spacing w:after="0"/>
              <w:rPr>
                <w:sz w:val="16"/>
                <w:szCs w:val="16"/>
                <w:color w:val="auto"/>
              </w:rPr>
            </w:pPr>
          </w:p>
        </w:tc>
        <w:tc>
          <w:tcPr>
            <w:tcW w:w="116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2/7/2025</w:t>
            </w:r>
          </w:p>
        </w:tc>
        <w:tc>
          <w:tcPr>
            <w:tcW w:w="110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85,067</w:t>
            </w:r>
          </w:p>
        </w:tc>
        <w:tc>
          <w:tcPr>
            <w:tcW w:w="11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2.78</w:t>
            </w:r>
          </w:p>
        </w:tc>
        <w:tc>
          <w:tcPr>
            <w:tcW w:w="98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165,881</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2/7/2025</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61,456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170,848</w:t>
            </w:r>
          </w:p>
        </w:tc>
        <w:tc>
          <w:tcPr>
            <w:tcW w:w="0" w:type="dxa"/>
            <w:vAlign w:val="bottom"/>
          </w:tcPr>
          <w:p>
            <w:pPr>
              <w:spacing w:after="0"/>
              <w:rPr>
                <w:sz w:val="1"/>
                <w:szCs w:val="1"/>
                <w:color w:val="auto"/>
              </w:rPr>
            </w:pPr>
          </w:p>
        </w:tc>
      </w:tr>
      <w:tr>
        <w:trPr>
          <w:trHeight w:val="232"/>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112,592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225,184</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J. Ludwig</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2/7/2025</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66,221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129,131</w:t>
            </w:r>
          </w:p>
        </w:tc>
        <w:tc>
          <w:tcPr>
            <w:tcW w:w="0" w:type="dxa"/>
            <w:vAlign w:val="bottom"/>
          </w:tcPr>
          <w:p>
            <w:pPr>
              <w:spacing w:after="0"/>
              <w:rPr>
                <w:sz w:val="1"/>
                <w:szCs w:val="1"/>
                <w:color w:val="auto"/>
              </w:rPr>
            </w:pPr>
          </w:p>
        </w:tc>
      </w:tr>
      <w:tr>
        <w:trPr>
          <w:trHeight w:val="213"/>
        </w:trPr>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2/7/2025</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47,841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132,998</w:t>
            </w:r>
          </w:p>
        </w:tc>
        <w:tc>
          <w:tcPr>
            <w:tcW w:w="0" w:type="dxa"/>
            <w:vAlign w:val="bottom"/>
          </w:tcPr>
          <w:p>
            <w:pPr>
              <w:spacing w:after="0"/>
              <w:rPr>
                <w:sz w:val="1"/>
                <w:szCs w:val="1"/>
                <w:color w:val="auto"/>
              </w:rPr>
            </w:pPr>
          </w:p>
        </w:tc>
      </w:tr>
      <w:tr>
        <w:trPr>
          <w:trHeight w:val="213"/>
        </w:trPr>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248,268</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Douglas Hunt, B.Sc. (Hons)</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2/7/2025</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66,604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129,878</w:t>
            </w:r>
          </w:p>
        </w:tc>
        <w:tc>
          <w:tcPr>
            <w:tcW w:w="0" w:type="dxa"/>
            <w:vAlign w:val="bottom"/>
          </w:tcPr>
          <w:p>
            <w:pPr>
              <w:spacing w:after="0"/>
              <w:rPr>
                <w:sz w:val="1"/>
                <w:szCs w:val="1"/>
                <w:color w:val="auto"/>
              </w:rPr>
            </w:pPr>
          </w:p>
        </w:tc>
      </w:tr>
      <w:tr>
        <w:trPr>
          <w:trHeight w:val="213"/>
        </w:trPr>
        <w:tc>
          <w:tcPr>
            <w:tcW w:w="24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2/7/2025</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133,765</w:t>
            </w:r>
          </w:p>
        </w:tc>
        <w:tc>
          <w:tcPr>
            <w:tcW w:w="0" w:type="dxa"/>
            <w:vAlign w:val="bottom"/>
          </w:tcPr>
          <w:p>
            <w:pPr>
              <w:spacing w:after="0"/>
              <w:rPr>
                <w:sz w:val="1"/>
                <w:szCs w:val="1"/>
                <w:color w:val="auto"/>
              </w:rPr>
            </w:pPr>
          </w:p>
        </w:tc>
      </w:tr>
      <w:tr>
        <w:trPr>
          <w:trHeight w:val="232"/>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97,812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195,624</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240" w:right="120" w:hanging="233"/>
        <w:spacing w:after="0" w:line="265" w:lineRule="auto"/>
        <w:tabs>
          <w:tab w:leader="none" w:pos="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these columns represent the range of potential payouts under the Corporate Performance Portion of our 2025 annual short-term incentive compensation program based on achievement of pre-established performance goals. For Mr. Auerbach, 100% of his entire target bonus opportunity was based on the Corporate Performance Portion of our annual short-term incentive compensation program. For our other Named Executive Officers, 50% of each Named Executive Officer’s entire target bonus opportunity was based on the Corporate Performance Portion of our annual short-term incentive compensation program, and 50% was based on the Compensation Committee discretion based on individual performance and thus is not reflected in this table. Achievement at or below threshold of financial goals results in no payout, and achievement below at threshold for non-financial goals results in 50% payout, achievement at target results in 100% payout and at maximum results in 200% payout, with straight line interpolation between goals.</w:t>
      </w:r>
    </w:p>
    <w:p>
      <w:pPr>
        <w:spacing w:after="0" w:line="2" w:lineRule="exact"/>
        <w:rPr>
          <w:rFonts w:ascii="Times New Roman" w:cs="Times New Roman" w:eastAsia="Times New Roman" w:hAnsi="Times New Roman"/>
          <w:sz w:val="17"/>
          <w:szCs w:val="17"/>
          <w:color w:val="auto"/>
        </w:rPr>
      </w:pPr>
    </w:p>
    <w:p>
      <w:pPr>
        <w:ind w:left="240" w:right="120" w:hanging="233"/>
        <w:spacing w:after="0" w:line="247" w:lineRule="auto"/>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number of RSUs granted in 2025 with 25% of the RSUs covered by the award vesting on each of July 1, 2025, January 1, 2026, July 1, 2026 and January 1, 2027, subject to continued service, or for Mr. Auerbach, continued employment, through the applicable vesting date.</w:t>
      </w:r>
    </w:p>
    <w:p>
      <w:pPr>
        <w:jc w:val="both"/>
        <w:ind w:left="240" w:right="280" w:hanging="233"/>
        <w:spacing w:after="0" w:line="262" w:lineRule="auto"/>
        <w:tabs>
          <w:tab w:leader="none" w:pos="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reflect the number of stock options granted in 2025 with 25% of the shares underlying the option vesting on each of July 1, 2025, January 1, 2026, July 1, 2026 and January 1, 2027, subject to continued service, or for Mr. Auerbach, continued employment, through the applicable vesting date.</w:t>
      </w:r>
    </w:p>
    <w:p>
      <w:pPr>
        <w:ind w:left="240" w:right="100" w:hanging="233"/>
        <w:spacing w:after="0" w:line="250" w:lineRule="auto"/>
        <w:tabs>
          <w:tab w:leader="none" w:pos="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values of equity awards granted during 2025 determined in accordance with ASC 718. The closing stock price of our common stock on the February 7, 2025 date of grant was $2.78. For a discussion of valuation assumptions for the equity awards, see Note 10 to our 2025 Consolidated Financial Statements included in our Annual Report on Form 10-K for the year ended December 31, 2025 filed with the SEC on February 26, 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 and Grants of Plan-Based Awards Table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 Letters and Employment Agreements with Our Named Executive Officers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President and Chief Executive Officer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Alan H. Auerbach</w:t>
      </w:r>
    </w:p>
    <w:p>
      <w:pPr>
        <w:spacing w:after="0" w:line="211" w:lineRule="exact"/>
        <w:rPr>
          <w:sz w:val="20"/>
          <w:szCs w:val="20"/>
          <w:color w:val="auto"/>
        </w:rPr>
      </w:pPr>
    </w:p>
    <w:p>
      <w:pPr>
        <w:jc w:val="both"/>
        <w:ind w:right="140" w:firstLine="427"/>
        <w:spacing w:after="0" w:line="269" w:lineRule="auto"/>
        <w:rPr>
          <w:sz w:val="20"/>
          <w:szCs w:val="20"/>
          <w:color w:val="auto"/>
        </w:rPr>
      </w:pPr>
      <w:r>
        <w:rPr>
          <w:rFonts w:ascii="Times New Roman" w:cs="Times New Roman" w:eastAsia="Times New Roman" w:hAnsi="Times New Roman"/>
          <w:sz w:val="17"/>
          <w:szCs w:val="17"/>
          <w:color w:val="auto"/>
        </w:rPr>
        <w:t>On January 19, 2012, we entered into an employment agreement with Alan H. Auerbach, our President and Chief Executive Officer. The employment agreement governs the terms of Mr. Auerbach’s employment with us and provided for an initial term through September 1, 2014, subject to automatic one-year renewal terms unless earlier terminated or either we or Mr. Auerbach give written notice of termination 60 days prior to the end of the renewed term.</w:t>
      </w:r>
    </w:p>
    <w:p>
      <w:pPr>
        <w:spacing w:after="0" w:line="2"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The employment agreement also provides that Mr. Auerbach will be nominated for election to our Board if the term of his directorship expires during the term of the employment agreement.</w:t>
      </w:r>
    </w:p>
    <w:p>
      <w:pPr>
        <w:spacing w:after="0" w:line="182" w:lineRule="exact"/>
        <w:rPr>
          <w:sz w:val="20"/>
          <w:szCs w:val="20"/>
          <w:color w:val="auto"/>
        </w:rPr>
      </w:pPr>
    </w:p>
    <w:p>
      <w:pPr>
        <w:ind w:right="120" w:firstLine="427"/>
        <w:spacing w:after="0" w:line="257" w:lineRule="auto"/>
        <w:rPr>
          <w:sz w:val="20"/>
          <w:szCs w:val="20"/>
          <w:color w:val="auto"/>
        </w:rPr>
      </w:pPr>
      <w:r>
        <w:rPr>
          <w:rFonts w:ascii="Times New Roman" w:cs="Times New Roman" w:eastAsia="Times New Roman" w:hAnsi="Times New Roman"/>
          <w:sz w:val="18"/>
          <w:szCs w:val="18"/>
          <w:color w:val="auto"/>
        </w:rPr>
        <w:t>Pursuant to the employment agreement, Mr. Auerbach will receive an annual base salary (which was $931,333 in 2025), and he is eligible receive an annual award under our annual short-term incentive compensation program (which in 2025 was targeted at 65% of his annual base salary), pro-rated for any partial year service, each subject to possible increase in connection with our annual review process. Mr. Auerbach is also eligible under the employment agreement to participate in all benefits programs offered to our senior executives.</w:t>
      </w:r>
    </w:p>
    <w:p>
      <w:pPr>
        <w:spacing w:after="0" w:line="181" w:lineRule="exact"/>
        <w:rPr>
          <w:sz w:val="20"/>
          <w:szCs w:val="20"/>
          <w:color w:val="auto"/>
        </w:rPr>
      </w:pPr>
    </w:p>
    <w:p>
      <w:pPr>
        <w:jc w:val="both"/>
        <w:ind w:right="680" w:firstLine="427"/>
        <w:spacing w:after="0" w:line="262" w:lineRule="auto"/>
        <w:rPr>
          <w:sz w:val="20"/>
          <w:szCs w:val="20"/>
          <w:color w:val="auto"/>
        </w:rPr>
      </w:pPr>
      <w:r>
        <w:rPr>
          <w:rFonts w:ascii="Times New Roman" w:cs="Times New Roman" w:eastAsia="Times New Roman" w:hAnsi="Times New Roman"/>
          <w:sz w:val="18"/>
          <w:szCs w:val="18"/>
          <w:color w:val="auto"/>
        </w:rPr>
        <w:t>For a discussion of the payments and other benefits to which Mr. Auerbach is entitled under his employment agreement in the event of certain qualifying terminations of employment, including certain terminations in connection with a change in control of us, see “Potential Payments Upon a Termination or Change in Control” below.</w:t>
      </w:r>
    </w:p>
    <w:p>
      <w:pPr>
        <w:spacing w:after="0" w:line="176" w:lineRule="exact"/>
        <w:rPr>
          <w:sz w:val="20"/>
          <w:szCs w:val="20"/>
          <w:color w:val="auto"/>
        </w:rPr>
      </w:pPr>
    </w:p>
    <w:p>
      <w:pPr>
        <w:jc w:val="both"/>
        <w:ind w:right="40" w:firstLine="427"/>
        <w:spacing w:after="0" w:line="262" w:lineRule="auto"/>
        <w:rPr>
          <w:sz w:val="20"/>
          <w:szCs w:val="20"/>
          <w:color w:val="auto"/>
        </w:rPr>
      </w:pPr>
      <w:r>
        <w:rPr>
          <w:rFonts w:ascii="Times New Roman" w:cs="Times New Roman" w:eastAsia="Times New Roman" w:hAnsi="Times New Roman"/>
          <w:sz w:val="18"/>
          <w:szCs w:val="18"/>
          <w:color w:val="auto"/>
        </w:rPr>
        <w:t>Mr. Auerbach’s employment agreement contains customary confidentiality and assignment of inventions provisions that survive the termination of the employment agreement for an indefinite period. The employment agreement also contains non-solicitation and non-disparagement provisions extending until 18 months following the termination of his employment with us.</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Named Executive Officers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Maximo F. Nougues, Jeff J. Ludwig and Douglas Hunt</w:t>
      </w:r>
    </w:p>
    <w:p>
      <w:pPr>
        <w:spacing w:after="0" w:line="211" w:lineRule="exact"/>
        <w:rPr>
          <w:sz w:val="20"/>
          <w:szCs w:val="20"/>
          <w:color w:val="auto"/>
        </w:rPr>
      </w:pPr>
    </w:p>
    <w:p>
      <w:pPr>
        <w:ind w:right="660" w:firstLine="427"/>
        <w:spacing w:after="0" w:line="277" w:lineRule="auto"/>
        <w:rPr>
          <w:sz w:val="20"/>
          <w:szCs w:val="20"/>
          <w:color w:val="auto"/>
        </w:rPr>
      </w:pPr>
      <w:r>
        <w:rPr>
          <w:rFonts w:ascii="Times New Roman" w:cs="Times New Roman" w:eastAsia="Times New Roman" w:hAnsi="Times New Roman"/>
          <w:sz w:val="18"/>
          <w:szCs w:val="18"/>
          <w:color w:val="auto"/>
        </w:rPr>
        <w:t>We have entered into employment letter agreements with each of our other Named Executive Officers, Messrs. Nougues, Ludwig and Hunt. In connection with Mr. Ludwig's termination, his employment letter agreement is no longer in effect.</w:t>
      </w:r>
    </w:p>
    <w:p>
      <w:pPr>
        <w:spacing w:after="0" w:line="163" w:lineRule="exact"/>
        <w:rPr>
          <w:sz w:val="20"/>
          <w:szCs w:val="20"/>
          <w:color w:val="auto"/>
        </w:rPr>
      </w:pPr>
    </w:p>
    <w:p>
      <w:pPr>
        <w:ind w:right="120" w:firstLine="427"/>
        <w:spacing w:after="0" w:line="252" w:lineRule="auto"/>
        <w:rPr>
          <w:sz w:val="20"/>
          <w:szCs w:val="20"/>
          <w:color w:val="auto"/>
        </w:rPr>
      </w:pPr>
      <w:r>
        <w:rPr>
          <w:rFonts w:ascii="Times New Roman" w:cs="Times New Roman" w:eastAsia="Times New Roman" w:hAnsi="Times New Roman"/>
          <w:sz w:val="18"/>
          <w:szCs w:val="18"/>
          <w:color w:val="auto"/>
        </w:rPr>
        <w:t>These Named Executive Officers are “at-will employees” and each employment letter provides for an initial annual base salary and target bonus opportunity expressed as a percentage of their annual base salary, which are subject to increase at the discretion of the Compensation Committee, discretionary annual performance bonuses subject to the attainment of performance criteria established and evaluated by us, and an initial stock option grant that vests over a three-year period. Each employment letter also provides that the executive is eligible to participate in all health, welfare, savings and retirement plans, practices, policies and programs maintained or sponsored by us from time to time for the benefit of similarly situated employees. In addition, Mr. Ludwig’s employment letter provided that Mr. Ludwig will be eligible to receive one or more equity awards based on the achievement of certain sales milestones. No equity awards were granted in accordance with these provisions during 2025.</w:t>
      </w:r>
    </w:p>
    <w:p>
      <w:pPr>
        <w:spacing w:after="0" w:line="187" w:lineRule="exact"/>
        <w:rPr>
          <w:sz w:val="20"/>
          <w:szCs w:val="20"/>
          <w:color w:val="auto"/>
        </w:rPr>
      </w:pPr>
    </w:p>
    <w:p>
      <w:pPr>
        <w:ind w:right="120" w:firstLine="427"/>
        <w:spacing w:after="0" w:line="254" w:lineRule="auto"/>
        <w:rPr>
          <w:sz w:val="20"/>
          <w:szCs w:val="20"/>
          <w:color w:val="auto"/>
        </w:rPr>
      </w:pPr>
      <w:r>
        <w:rPr>
          <w:rFonts w:ascii="Times New Roman" w:cs="Times New Roman" w:eastAsia="Times New Roman" w:hAnsi="Times New Roman"/>
          <w:sz w:val="18"/>
          <w:szCs w:val="18"/>
          <w:color w:val="auto"/>
        </w:rPr>
        <w:t>Additionally, the employment letters for Messrs. Nougues and Ludwig include certain payments and other benefits to which they are entitled in the event of certain qualifying terminations of employment, including certain terminations in connection with a change in control of us. Pursuant to the terms of his employment letter, Mr. Ludwig received severance payments and benefits in connection with his termination without cause in May 2025. Please see “Potential Payments Upon a Termination or Change in Control” below for a description of these provisions and the severance payments and benefits paid to Mr. Ludwig.</w:t>
      </w:r>
    </w:p>
    <w:p>
      <w:pPr>
        <w:spacing w:after="0" w:line="186" w:lineRule="exact"/>
        <w:rPr>
          <w:sz w:val="20"/>
          <w:szCs w:val="20"/>
          <w:color w:val="auto"/>
        </w:rPr>
      </w:pPr>
    </w:p>
    <w:p>
      <w:pPr>
        <w:ind w:right="600" w:firstLine="427"/>
        <w:spacing w:after="0" w:line="277" w:lineRule="auto"/>
        <w:rPr>
          <w:sz w:val="20"/>
          <w:szCs w:val="20"/>
          <w:color w:val="auto"/>
        </w:rPr>
      </w:pPr>
      <w:r>
        <w:rPr>
          <w:rFonts w:ascii="Times New Roman" w:cs="Times New Roman" w:eastAsia="Times New Roman" w:hAnsi="Times New Roman"/>
          <w:sz w:val="18"/>
          <w:szCs w:val="18"/>
          <w:color w:val="auto"/>
        </w:rPr>
        <w:t>The employment letters also contain a customary non-solicitation provision and, in connection with their entry into the employment letter, each executive entered into our standard proprietary information and inventions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summary information regarding the outstanding equity awards held by our Named Executive Officers at December 31,</w:t>
      </w:r>
    </w:p>
    <w:p>
      <w:pPr>
        <w:spacing w:after="0" w:line="25" w:lineRule="exact"/>
        <w:rPr>
          <w:sz w:val="20"/>
          <w:szCs w:val="20"/>
          <w:color w:val="auto"/>
        </w:rPr>
      </w:pPr>
    </w:p>
    <w:p>
      <w:pPr>
        <w:ind w:right="640"/>
        <w:spacing w:after="0" w:line="255" w:lineRule="auto"/>
        <w:rPr>
          <w:sz w:val="20"/>
          <w:szCs w:val="20"/>
          <w:color w:val="auto"/>
        </w:rPr>
      </w:pPr>
      <w:r>
        <w:rPr>
          <w:rFonts w:ascii="Times New Roman" w:cs="Times New Roman" w:eastAsia="Times New Roman" w:hAnsi="Times New Roman"/>
          <w:sz w:val="18"/>
          <w:szCs w:val="18"/>
          <w:color w:val="auto"/>
        </w:rPr>
        <w:t>2025. Due to his employment termination on May 8, 2025, Mr. Ludwig did not hold any outstanding equity awards at December 31, 2025. Except as indicated below, stock awards and options were granted pursuant to our 2011 Plan.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811"/>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Borders>
              <w:bottom w:val="single" w:sz="8" w:color="auto"/>
            </w:tcBorders>
            <w:gridSpan w:val="2"/>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88"/>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4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9"/>
              </w:rPr>
              <w:t>Number of</w:t>
            </w:r>
          </w:p>
        </w:tc>
        <w:tc>
          <w:tcPr>
            <w:tcW w:w="1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3"/>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Securities</w:t>
            </w: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3"/>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9"/>
              </w:rPr>
              <w:t>Number of</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Underlying</w:t>
            </w: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9"/>
              </w:rPr>
              <w:t>Number of</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Market Value of</w:t>
            </w:r>
          </w:p>
        </w:tc>
      </w:tr>
      <w:tr>
        <w:trPr>
          <w:trHeight w:val="21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0" w:type="dxa"/>
            <w:vAlign w:val="bottom"/>
          </w:tcPr>
          <w:p>
            <w:pPr>
              <w:spacing w:after="0"/>
              <w:rPr>
                <w:sz w:val="18"/>
                <w:szCs w:val="18"/>
                <w:color w:val="auto"/>
              </w:rPr>
            </w:pPr>
          </w:p>
        </w:tc>
        <w:tc>
          <w:tcPr>
            <w:tcW w:w="140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8"/>
              </w:rPr>
              <w:t>Securities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Unexercised</w:t>
            </w: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9"/>
              </w:rPr>
              <w:t>Shares or Units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Unvested Shares</w:t>
            </w:r>
          </w:p>
        </w:tc>
      </w:tr>
      <w:tr>
        <w:trPr>
          <w:trHeight w:val="213"/>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7"/>
              </w:rPr>
              <w:t>Underlying</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Options</w:t>
            </w:r>
          </w:p>
        </w:tc>
        <w:tc>
          <w:tcPr>
            <w:tcW w:w="1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7"/>
              </w:rPr>
              <w:t>of Stock that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 Units of</w:t>
            </w:r>
          </w:p>
        </w:tc>
      </w:tr>
      <w:tr>
        <w:trPr>
          <w:trHeight w:val="213"/>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Options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Unexercisable</w:t>
            </w: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9"/>
              </w:rPr>
              <w:t>Option Exercise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Option</w:t>
            </w:r>
          </w:p>
        </w:tc>
        <w:tc>
          <w:tcPr>
            <w:tcW w:w="142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6"/>
              </w:rPr>
              <w:t>Have Not Vested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Stock that Have</w:t>
            </w:r>
          </w:p>
        </w:tc>
      </w:tr>
      <w:tr>
        <w:trPr>
          <w:trHeight w:val="232"/>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8"/>
              </w:rPr>
              <w:t>Exercisable (#)</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Price ($)</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Expiration Date</w:t>
            </w:r>
          </w:p>
        </w:tc>
        <w:tc>
          <w:tcPr>
            <w:tcW w:w="142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spacing w:after="0" w:line="232" w:lineRule="exact"/>
              <w:rPr>
                <w:sz w:val="20"/>
                <w:szCs w:val="20"/>
                <w:color w:val="auto"/>
              </w:rPr>
            </w:pPr>
            <w:r>
              <w:rPr>
                <w:rFonts w:ascii="Times New Roman" w:cs="Times New Roman" w:eastAsia="Times New Roman" w:hAnsi="Times New Roman"/>
                <w:sz w:val="16"/>
                <w:szCs w:val="16"/>
                <w:color w:val="auto"/>
              </w:rPr>
              <w:t>Not Vested</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w:t>
            </w:r>
          </w:p>
        </w:tc>
      </w:tr>
      <w:tr>
        <w:trPr>
          <w:trHeight w:val="21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H. Auerbach</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2,116,250</w:t>
            </w:r>
            <w:r>
              <w:rPr>
                <w:rFonts w:ascii="Times New Roman" w:cs="Times New Roman" w:eastAsia="Times New Roman" w:hAnsi="Times New Roman"/>
                <w:sz w:val="14"/>
                <w:szCs w:val="14"/>
                <w:color w:val="auto"/>
              </w:rPr>
              <w:t>(2)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16.00</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10/4/2026</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66,667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35.61</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5/22/2026</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70,000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37.35</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2/16/2027</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56,940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60.85</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2/11/2028</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62,634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27.76</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2/6/2029</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161,649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12.34</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2/11/2030</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210,944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12.02</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2/17/2031</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241,176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3/3/2032</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258,924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2/10/2033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166,929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55,644(3)</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2/12/2034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40,199(4)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239,184</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6,785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2,262(5)</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3/15/2034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68,655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205,967(7)</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2/7/2035</w:t>
            </w:r>
          </w:p>
        </w:tc>
        <w:tc>
          <w:tcPr>
            <w:tcW w:w="100" w:type="dxa"/>
            <w:vAlign w:val="bottom"/>
            <w:shd w:val="clear" w:color="auto" w:fill="CCEEFF"/>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148,800(8)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885,360</w:t>
            </w:r>
          </w:p>
        </w:tc>
      </w:tr>
      <w:tr>
        <w:trPr>
          <w:trHeight w:val="195"/>
        </w:trPr>
        <w:tc>
          <w:tcPr>
            <w:tcW w:w="30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Maximo F. Nougues</w:t>
            </w:r>
          </w:p>
        </w:tc>
        <w:tc>
          <w:tcPr>
            <w:tcW w:w="100" w:type="dxa"/>
            <w:vAlign w:val="bottom"/>
          </w:tcPr>
          <w:p>
            <w:pPr>
              <w:spacing w:after="0"/>
              <w:rPr>
                <w:sz w:val="16"/>
                <w:szCs w:val="16"/>
                <w:color w:val="auto"/>
              </w:rPr>
            </w:pPr>
          </w:p>
        </w:tc>
        <w:tc>
          <w:tcPr>
            <w:tcW w:w="1400" w:type="dxa"/>
            <w:vAlign w:val="bottom"/>
          </w:tcPr>
          <w:p>
            <w:pPr>
              <w:jc w:val="right"/>
              <w:ind w:right="91"/>
              <w:spacing w:after="0" w:line="195" w:lineRule="exact"/>
              <w:rPr>
                <w:sz w:val="20"/>
                <w:szCs w:val="20"/>
                <w:color w:val="auto"/>
              </w:rPr>
            </w:pPr>
            <w:r>
              <w:rPr>
                <w:rFonts w:ascii="Times New Roman" w:cs="Times New Roman" w:eastAsia="Times New Roman" w:hAnsi="Times New Roman"/>
                <w:sz w:val="18"/>
                <w:szCs w:val="18"/>
                <w:color w:val="auto"/>
              </w:rPr>
              <w:t>90,000</w:t>
            </w:r>
          </w:p>
        </w:tc>
        <w:tc>
          <w:tcPr>
            <w:tcW w:w="144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
              <w:spacing w:after="0" w:line="195" w:lineRule="exact"/>
              <w:rPr>
                <w:sz w:val="20"/>
                <w:szCs w:val="20"/>
                <w:color w:val="auto"/>
              </w:rPr>
            </w:pPr>
            <w:r>
              <w:rPr>
                <w:rFonts w:ascii="Times New Roman" w:cs="Times New Roman" w:eastAsia="Times New Roman" w:hAnsi="Times New Roman"/>
                <w:sz w:val="18"/>
                <w:szCs w:val="18"/>
                <w:color w:val="auto"/>
              </w:rPr>
              <w:t>23.37</w:t>
            </w:r>
          </w:p>
        </w:tc>
        <w:tc>
          <w:tcPr>
            <w:tcW w:w="132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11/11/2028</w:t>
            </w:r>
          </w:p>
        </w:tc>
        <w:tc>
          <w:tcPr>
            <w:tcW w:w="1420" w:type="dxa"/>
            <w:vAlign w:val="bottom"/>
          </w:tcPr>
          <w:p>
            <w:pPr>
              <w:jc w:val="right"/>
              <w:ind w:right="111"/>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tcPr>
          <w:p>
            <w:pPr>
              <w:spacing w:after="0"/>
              <w:rPr>
                <w:sz w:val="18"/>
                <w:szCs w:val="18"/>
                <w:color w:val="auto"/>
              </w:rPr>
            </w:pPr>
          </w:p>
        </w:tc>
        <w:tc>
          <w:tcPr>
            <w:tcW w:w="150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15,567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12.34</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2/11/2030</w:t>
            </w: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tcPr>
          <w:p>
            <w:pPr>
              <w:spacing w:after="0"/>
              <w:rPr>
                <w:sz w:val="18"/>
                <w:szCs w:val="18"/>
                <w:color w:val="auto"/>
              </w:rPr>
            </w:pPr>
          </w:p>
        </w:tc>
        <w:tc>
          <w:tcPr>
            <w:tcW w:w="150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78,209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12.02</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2/17/2031</w:t>
            </w: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tcPr>
          <w:p>
            <w:pPr>
              <w:spacing w:after="0"/>
              <w:rPr>
                <w:sz w:val="18"/>
                <w:szCs w:val="18"/>
                <w:color w:val="auto"/>
              </w:rPr>
            </w:pPr>
          </w:p>
        </w:tc>
        <w:tc>
          <w:tcPr>
            <w:tcW w:w="150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88,824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2.33</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3/3/2032</w:t>
            </w: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tcPr>
          <w:p>
            <w:pPr>
              <w:spacing w:after="0"/>
              <w:rPr>
                <w:sz w:val="18"/>
                <w:szCs w:val="18"/>
                <w:color w:val="auto"/>
              </w:rPr>
            </w:pPr>
          </w:p>
        </w:tc>
        <w:tc>
          <w:tcPr>
            <w:tcW w:w="150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81,399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4.39</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2/10/2033</w:t>
            </w: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tcPr>
          <w:p>
            <w:pPr>
              <w:spacing w:after="0"/>
              <w:rPr>
                <w:sz w:val="18"/>
                <w:szCs w:val="18"/>
                <w:color w:val="auto"/>
              </w:rPr>
            </w:pPr>
          </w:p>
        </w:tc>
        <w:tc>
          <w:tcPr>
            <w:tcW w:w="150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44,959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14,987(3)</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6.36</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2/12/2034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10,827(4)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64,421</w:t>
            </w:r>
          </w:p>
        </w:tc>
      </w:tr>
      <w:tr>
        <w:trPr>
          <w:trHeight w:val="232"/>
        </w:trPr>
        <w:tc>
          <w:tcPr>
            <w:tcW w:w="3020" w:type="dxa"/>
            <w:vAlign w:val="bottom"/>
          </w:tcPr>
          <w:p>
            <w:pPr>
              <w:spacing w:after="0"/>
              <w:rPr>
                <w:sz w:val="20"/>
                <w:szCs w:val="20"/>
                <w:color w:val="auto"/>
              </w:rPr>
            </w:pPr>
          </w:p>
        </w:tc>
        <w:tc>
          <w:tcPr>
            <w:tcW w:w="150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21,266</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63,801</w:t>
            </w:r>
            <w:r>
              <w:rPr>
                <w:rFonts w:ascii="Times New Roman" w:cs="Times New Roman" w:eastAsia="Times New Roman" w:hAnsi="Times New Roman"/>
                <w:sz w:val="14"/>
                <w:szCs w:val="14"/>
                <w:color w:val="auto"/>
              </w:rPr>
              <w:t>(7)</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2/7/2035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46,092</w:t>
            </w:r>
            <w:r>
              <w:rPr>
                <w:rFonts w:ascii="Times New Roman" w:cs="Times New Roman" w:eastAsia="Times New Roman" w:hAnsi="Times New Roman"/>
                <w:sz w:val="14"/>
                <w:szCs w:val="14"/>
                <w:color w:val="auto"/>
              </w:rPr>
              <w:t>(8)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274,247</w:t>
            </w:r>
          </w:p>
        </w:tc>
      </w:tr>
      <w:tr>
        <w:trPr>
          <w:trHeight w:val="21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Hunt, B.Sc. (Hons)</w:t>
            </w:r>
          </w:p>
        </w:tc>
        <w:tc>
          <w:tcPr>
            <w:tcW w:w="150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90,000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90.85</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1/16/2028</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15,400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27.76</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2/6/2029</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54,842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12.34</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2/11/2030</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27,793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12.02</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2/17/2031</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32,353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3/3/2032</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66,864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4.39</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2/10/2033</w:t>
            </w:r>
          </w:p>
        </w:tc>
        <w:tc>
          <w:tcPr>
            <w:tcW w:w="14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39,339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13,113(3)</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6.36</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2/12/2034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9,474(4)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56,370</w:t>
            </w:r>
          </w:p>
        </w:tc>
      </w:tr>
      <w:tr>
        <w:trPr>
          <w:trHeight w:val="213"/>
        </w:trPr>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16,651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49,953(7)</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2/7/2035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36,088(8)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-3117215</wp:posOffset>
            </wp:positionV>
            <wp:extent cx="915035" cy="1084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15035" cy="1084580"/>
                    </a:xfrm>
                    <a:prstGeom prst="rect">
                      <a:avLst/>
                    </a:prstGeom>
                    <a:noFill/>
                  </pic:spPr>
                </pic:pic>
              </a:graphicData>
            </a:graphic>
          </wp:anchor>
        </w:drawing>
        <w:drawing>
          <wp:anchor simplePos="0" relativeHeight="251657728" behindDoc="1" locked="0" layoutInCell="0" allowOverlap="1">
            <wp:simplePos x="0" y="0"/>
            <wp:positionH relativeFrom="column">
              <wp:posOffset>5460365</wp:posOffset>
            </wp:positionH>
            <wp:positionV relativeFrom="paragraph">
              <wp:posOffset>-2303780</wp:posOffset>
            </wp:positionV>
            <wp:extent cx="1677670" cy="271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77670" cy="27114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-541655</wp:posOffset>
            </wp:positionV>
            <wp:extent cx="915035" cy="542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15035" cy="542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left="240" w:right="60" w:hanging="233"/>
        <w:spacing w:after="0" w:line="258" w:lineRule="auto"/>
        <w:tabs>
          <w:tab w:leader="none" w:pos="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is determined based on the closing price of our common stock on December 31, 2025 (the last trading day of the calendar year) of $5.95 per share.</w:t>
      </w:r>
    </w:p>
    <w:p>
      <w:pPr>
        <w:ind w:left="240" w:hanging="233"/>
        <w:spacing w:after="0" w:line="247" w:lineRule="auto"/>
        <w:tabs>
          <w:tab w:leader="none" w:pos="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Auerbach Warrant. See Proposal 3 regarding stockholder approval of the proposed Auerbach Warrant Amendment that will extend the term of the Auerbach Warrant until October 4, 2028.</w:t>
      </w:r>
    </w:p>
    <w:p>
      <w:pPr>
        <w:ind w:left="240" w:right="60" w:hanging="233"/>
        <w:spacing w:after="0" w:line="247" w:lineRule="auto"/>
        <w:tabs>
          <w:tab w:leader="none" w:pos="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One-fourth of the granted option vested on July 1, 2024, January 1, 2025, and July 1, 2025, with this last unvested increment vesting on January 1, 2026, subject to continued service, or for Mr. Auerbach, continued employment, through the applicable vesting date. In addition, for Messrs. Auerbach and Nougues, this option may accelerate and vest under certain circumstances described more fully under “Potential Payments Upon a Termination or Change in Control” below.</w:t>
      </w:r>
    </w:p>
    <w:p>
      <w:pPr>
        <w:spacing w:after="0" w:line="1" w:lineRule="exact"/>
        <w:rPr>
          <w:rFonts w:ascii="Times New Roman" w:cs="Times New Roman" w:eastAsia="Times New Roman" w:hAnsi="Times New Roman"/>
          <w:sz w:val="18"/>
          <w:szCs w:val="18"/>
          <w:color w:val="auto"/>
        </w:rPr>
      </w:pPr>
    </w:p>
    <w:p>
      <w:pPr>
        <w:ind w:left="240" w:right="200" w:hanging="233"/>
        <w:spacing w:after="0" w:line="247" w:lineRule="auto"/>
        <w:tabs>
          <w:tab w:leader="none" w:pos="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One-fourth of the granted RSU award vested on July 1, 2024, January 1, 2025, and July 1, 2025, with this last unvested increment vesting on January 1, 2026, subject to continued service, or for Mr. Auerbach, continued employment, through the applicable vesting date. In addition, for Messrs. Auerbach and Nougues the RSUs may accelerate and vest under certain circumstances described more fully under “Potential Payments Upon a Termination or Change in Control” below.</w:t>
      </w:r>
    </w:p>
    <w:p>
      <w:pPr>
        <w:spacing w:after="0" w:line="1" w:lineRule="exact"/>
        <w:rPr>
          <w:rFonts w:ascii="Times New Roman" w:cs="Times New Roman" w:eastAsia="Times New Roman" w:hAnsi="Times New Roman"/>
          <w:sz w:val="18"/>
          <w:szCs w:val="18"/>
          <w:color w:val="auto"/>
        </w:rPr>
      </w:pPr>
    </w:p>
    <w:p>
      <w:pPr>
        <w:ind w:left="240" w:right="140" w:hanging="233"/>
        <w:spacing w:after="0" w:line="247" w:lineRule="auto"/>
        <w:tabs>
          <w:tab w:leader="none" w:pos="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One-fourth of the granted option vested on July 1, 2024, January 1, 2025, and July 1, 2025, with this last unvested increment vesting on January 1, 2026, subject to continued employment, through the applicable vesting date. In addition, this option may accelerate and vest under certain circumstances described more fully under “Potential Payments Upon a Termination or Change in Control” below.</w:t>
      </w:r>
    </w:p>
    <w:p>
      <w:pPr>
        <w:spacing w:after="0" w:line="1" w:lineRule="exact"/>
        <w:rPr>
          <w:rFonts w:ascii="Times New Roman" w:cs="Times New Roman" w:eastAsia="Times New Roman" w:hAnsi="Times New Roman"/>
          <w:sz w:val="18"/>
          <w:szCs w:val="18"/>
          <w:color w:val="auto"/>
        </w:rPr>
      </w:pPr>
    </w:p>
    <w:p>
      <w:pPr>
        <w:jc w:val="both"/>
        <w:ind w:left="240" w:right="300" w:hanging="233"/>
        <w:spacing w:after="0" w:line="247" w:lineRule="auto"/>
        <w:tabs>
          <w:tab w:leader="none" w:pos="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One-fourth of the granted RSU award vested on July 1, 2024, January 1, 2025 and July 1, 2025 with this last unvested increment vesting on January 1, 2026, subject to continued employment through the applicable vesting date. The RSUs may accelerate and vest under certain circumstances described more fully under “Potential Payments Upon a Termination or Change in Control” below.</w:t>
      </w:r>
    </w:p>
    <w:p>
      <w:pPr>
        <w:spacing w:after="0" w:line="1" w:lineRule="exact"/>
        <w:rPr>
          <w:rFonts w:ascii="Times New Roman" w:cs="Times New Roman" w:eastAsia="Times New Roman" w:hAnsi="Times New Roman"/>
          <w:sz w:val="18"/>
          <w:szCs w:val="18"/>
          <w:color w:val="auto"/>
        </w:rPr>
      </w:pPr>
    </w:p>
    <w:p>
      <w:pPr>
        <w:ind w:left="240" w:right="80" w:hanging="233"/>
        <w:spacing w:after="0" w:line="247" w:lineRule="auto"/>
        <w:tabs>
          <w:tab w:leader="none" w:pos="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One-fourth of the granted option vested on July 1, 2025, and these remaining unvested options will vest in one-fourth increments on each of January 1, 2026, July 1, 2026 and January 1, 2027, subject to continued service, or for Mr. Auerbach, continued employment, through the applicable vesting date. In addition, for Messrs. Auerbach and Nougues this option may accelerate and vest under certain circumstances described more fully under “Potential Payments Upon a Termination or Change in Control” below.</w:t>
      </w:r>
    </w:p>
    <w:p>
      <w:pPr>
        <w:spacing w:after="0" w:line="1" w:lineRule="exact"/>
        <w:rPr>
          <w:rFonts w:ascii="Times New Roman" w:cs="Times New Roman" w:eastAsia="Times New Roman" w:hAnsi="Times New Roman"/>
          <w:sz w:val="18"/>
          <w:szCs w:val="18"/>
          <w:color w:val="auto"/>
        </w:rPr>
      </w:pPr>
    </w:p>
    <w:p>
      <w:pPr>
        <w:ind w:left="240" w:hanging="233"/>
        <w:spacing w:after="0" w:line="250" w:lineRule="auto"/>
        <w:tabs>
          <w:tab w:leader="none" w:pos="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One-fourth of the granted RSU award vested on July 1, 2025, and these remaining unvested RSUs will vest in one-fourth increments on each of January 1, 2026, July 1, 2026, and January 1, 2027, subject to continued service, or for Mr. Auerbach, continued employment, through the applicable vesting date. In addition, for Messrs. Auerbach and Nougues the RSUs may accelerate and vest under certain circumstances described more fully under “Potential Payments Upon a Termination or Change in Control”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 Exercised and Stock Vested</w:t>
      </w:r>
    </w:p>
    <w:p>
      <w:pPr>
        <w:spacing w:after="0" w:line="224" w:lineRule="exact"/>
        <w:rPr>
          <w:sz w:val="20"/>
          <w:szCs w:val="20"/>
          <w:color w:val="auto"/>
        </w:rPr>
      </w:pPr>
    </w:p>
    <w:p>
      <w:pPr>
        <w:ind w:right="200" w:firstLine="427"/>
        <w:spacing w:after="0" w:line="277" w:lineRule="auto"/>
        <w:rPr>
          <w:sz w:val="20"/>
          <w:szCs w:val="20"/>
          <w:color w:val="auto"/>
        </w:rPr>
      </w:pPr>
      <w:r>
        <w:rPr>
          <w:rFonts w:ascii="Times New Roman" w:cs="Times New Roman" w:eastAsia="Times New Roman" w:hAnsi="Times New Roman"/>
          <w:sz w:val="18"/>
          <w:szCs w:val="18"/>
          <w:color w:val="auto"/>
        </w:rPr>
        <w:t>The following table shows the number of shares of common stock acquired by each Named Executive Officer during 2025 upon the vesting of RSUs and the exercise of stock options, in each case, during 2025.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278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84"/>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24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16"/>
                <w:szCs w:val="16"/>
                <w:color w:val="auto"/>
              </w:rPr>
            </w:pPr>
          </w:p>
        </w:tc>
        <w:tc>
          <w:tcPr>
            <w:tcW w:w="1440" w:type="dxa"/>
            <w:vAlign w:val="bottom"/>
            <w:tcBorders>
              <w:top w:val="single" w:sz="8" w:color="auto"/>
            </w:tcBorders>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4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16"/>
                <w:szCs w:val="16"/>
                <w:color w:val="auto"/>
              </w:rPr>
            </w:pPr>
          </w:p>
        </w:tc>
      </w:tr>
      <w:tr>
        <w:trPr>
          <w:trHeight w:val="213"/>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realized on</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Realized on</w:t>
            </w:r>
          </w:p>
        </w:tc>
      </w:tr>
      <w:tr>
        <w:trPr>
          <w:trHeight w:val="213"/>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acquired on</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exercise(1)</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Acquired 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Vesting(2)</w:t>
            </w:r>
          </w:p>
        </w:tc>
      </w:tr>
      <w:tr>
        <w:trPr>
          <w:trHeight w:val="236"/>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3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Grant Type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Vesting (#)</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7"/>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H. Auerbach</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RSU</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179,886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598,031</w:t>
            </w:r>
          </w:p>
        </w:tc>
      </w:tr>
      <w:tr>
        <w:trPr>
          <w:trHeight w:val="21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Maximo F. Nougues</w:t>
            </w:r>
          </w:p>
        </w:tc>
        <w:tc>
          <w:tcPr>
            <w:tcW w:w="1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51,669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171,734</w:t>
            </w:r>
          </w:p>
        </w:tc>
      </w:tr>
      <w:tr>
        <w:trPr>
          <w:trHeight w:val="21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J. Ludwig</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RSU</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23,510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71,706</w:t>
            </w:r>
          </w:p>
        </w:tc>
      </w:tr>
      <w:tr>
        <w:trPr>
          <w:trHeight w:val="213"/>
        </w:trPr>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55,882</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61,107</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Douglas Hunt, B.Sc. (Hons)</w:t>
            </w:r>
          </w:p>
        </w:tc>
        <w:tc>
          <w:tcPr>
            <w:tcW w:w="1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43,010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142,792</w:t>
            </w:r>
          </w:p>
        </w:tc>
      </w:tr>
      <w:tr>
        <w:trPr>
          <w:trHeight w:val="213"/>
        </w:trPr>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ind w:left="260" w:hanging="253"/>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the fair market value of our stock underlying the options on the date of exercise and the exercise price of the option.</w:t>
      </w:r>
    </w:p>
    <w:p>
      <w:pPr>
        <w:spacing w:after="0" w:line="7"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amounts realized based on the fair market value of our stock on the vesting date.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 and Nonqualified Deferred Compensation</w:t>
      </w:r>
    </w:p>
    <w:p>
      <w:pPr>
        <w:spacing w:after="0" w:line="224" w:lineRule="exact"/>
        <w:rPr>
          <w:sz w:val="20"/>
          <w:szCs w:val="20"/>
          <w:color w:val="auto"/>
        </w:rPr>
      </w:pPr>
    </w:p>
    <w:p>
      <w:pPr>
        <w:ind w:right="60" w:firstLine="427"/>
        <w:spacing w:after="0" w:line="257" w:lineRule="auto"/>
        <w:rPr>
          <w:sz w:val="20"/>
          <w:szCs w:val="20"/>
          <w:color w:val="auto"/>
        </w:rPr>
      </w:pPr>
      <w:r>
        <w:rPr>
          <w:rFonts w:ascii="Times New Roman" w:cs="Times New Roman" w:eastAsia="Times New Roman" w:hAnsi="Times New Roman"/>
          <w:sz w:val="18"/>
          <w:szCs w:val="18"/>
          <w:color w:val="auto"/>
        </w:rPr>
        <w:t>During the fiscal year ended December 31, 2025, we did not have any plans in place for the payment of retirement benefits or benefits that will be paid primarily following retirement including, but not limited to, tax qualified deferred benefit plans, supplemental executive retirement plans, tax qualified deferred contribution plans and nonqualified deferred contribution plans. We do maintain a 401(k) plan for our employees, including our Named Executive Officers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a Termination or Change in Control</w:t>
      </w:r>
    </w:p>
    <w:p>
      <w:pPr>
        <w:spacing w:after="0" w:line="222" w:lineRule="exact"/>
        <w:rPr>
          <w:sz w:val="20"/>
          <w:szCs w:val="20"/>
          <w:color w:val="auto"/>
        </w:rPr>
      </w:pPr>
    </w:p>
    <w:p>
      <w:pPr>
        <w:ind w:firstLine="427"/>
        <w:spacing w:after="0" w:line="258" w:lineRule="auto"/>
        <w:rPr>
          <w:sz w:val="20"/>
          <w:szCs w:val="20"/>
          <w:color w:val="auto"/>
        </w:rPr>
      </w:pPr>
      <w:r>
        <w:rPr>
          <w:rFonts w:ascii="Times New Roman" w:cs="Times New Roman" w:eastAsia="Times New Roman" w:hAnsi="Times New Roman"/>
          <w:sz w:val="18"/>
          <w:szCs w:val="18"/>
          <w:i w:val="1"/>
          <w:iCs w:val="1"/>
          <w:color w:val="auto"/>
        </w:rPr>
        <w:t>Alan H. Auerbach</w:t>
      </w:r>
      <w:r>
        <w:rPr>
          <w:rFonts w:ascii="Times New Roman" w:cs="Times New Roman" w:eastAsia="Times New Roman" w:hAnsi="Times New Roman"/>
          <w:sz w:val="18"/>
          <w:szCs w:val="18"/>
          <w:color w:val="auto"/>
        </w:rPr>
        <w:t>. On January 19, 2012, we entered into an employment agreement with Alan H. Auerbach, our President and Chief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employment agreement, in the event Mr. Auerbach’s employment is terminated by us without “cause” or by Mr. Auerbach for “good reason” within 60 days prior to, or 18 months following, a “change in control” (each as defined in the employment agreement and described below), he will be entitled to receive, in addition to any accrued but unpaid compensation and benefits:</w:t>
      </w:r>
    </w:p>
    <w:p>
      <w:pPr>
        <w:spacing w:after="0" w:line="219" w:lineRule="exact"/>
        <w:rPr>
          <w:sz w:val="20"/>
          <w:szCs w:val="20"/>
          <w:color w:val="auto"/>
        </w:rPr>
      </w:pPr>
    </w:p>
    <w:p>
      <w:pPr>
        <w:ind w:left="460" w:right="260" w:hanging="144"/>
        <w:spacing w:after="0" w:line="277"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two times the sum of his annual base salary and the maximum amount payable under our annual short-term incentive compensation program to which he would be eligible to receive for the year in which the termination occurs;</w:t>
      </w:r>
    </w:p>
    <w:p>
      <w:pPr>
        <w:spacing w:after="0" w:line="29" w:lineRule="exact"/>
        <w:rPr>
          <w:rFonts w:ascii="Times New Roman" w:cs="Times New Roman" w:eastAsia="Times New Roman" w:hAnsi="Times New Roman"/>
          <w:sz w:val="18"/>
          <w:szCs w:val="18"/>
          <w:color w:val="auto"/>
        </w:rPr>
      </w:pPr>
    </w:p>
    <w:p>
      <w:pPr>
        <w:ind w:left="460" w:right="380" w:hanging="144"/>
        <w:spacing w:after="0" w:line="307" w:lineRule="auto"/>
        <w:tabs>
          <w:tab w:leader="none" w:pos="4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unvested equity-based incentive awards will immediately vest in connection with such termination of employment on the later of the change in control and the termination date, and will remain exercisable (as applicable) for a period of up to 12 months from the date of the termination; and</w:t>
      </w:r>
    </w:p>
    <w:p>
      <w:pPr>
        <w:spacing w:after="0" w:line="6" w:lineRule="exact"/>
        <w:rPr>
          <w:rFonts w:ascii="Times New Roman" w:cs="Times New Roman" w:eastAsia="Times New Roman" w:hAnsi="Times New Roman"/>
          <w:sz w:val="17"/>
          <w:szCs w:val="17"/>
          <w:color w:val="auto"/>
        </w:rPr>
      </w:pPr>
    </w:p>
    <w:p>
      <w:pPr>
        <w:ind w:left="460" w:hanging="144"/>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18 months continuation of healthcare benefits to him and his dependents.</w:t>
      </w:r>
    </w:p>
    <w:p>
      <w:pPr>
        <w:sectPr>
          <w:pgSz w:w="11900" w:h="16838" w:orient="portrait"/>
          <w:cols w:equalWidth="0" w:num="1">
            <w:col w:w="11240"/>
          </w:cols>
          <w:pgMar w:left="320" w:top="121" w:right="339" w:bottom="1148" w:gutter="0" w:footer="0" w:header="0"/>
        </w:sect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148"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right="60" w:firstLine="427"/>
        <w:spacing w:after="0" w:line="257" w:lineRule="auto"/>
        <w:rPr>
          <w:sz w:val="20"/>
          <w:szCs w:val="20"/>
          <w:color w:val="auto"/>
        </w:rPr>
      </w:pPr>
      <w:r>
        <w:rPr>
          <w:rFonts w:ascii="Times New Roman" w:cs="Times New Roman" w:eastAsia="Times New Roman" w:hAnsi="Times New Roman"/>
          <w:sz w:val="18"/>
          <w:szCs w:val="18"/>
          <w:color w:val="auto"/>
        </w:rPr>
        <w:t>In the event a change in control occurs and an excise tax would be imposed as a result of any compensatory payments made to Mr. Auerbach in connection with such change in control, we will either (i) reduce the payments made to Mr. Auerbach such that the excise tax will not be imposed or (ii) if such reduction would not result in a greater net after-tax benefit to Mr. Auerbach than receiving the full amount of such payments, pay the entire (unreduced) payments and also pay or reimburse Mr. Auerbach an amount equal to any such excise tax plus any taxes resulting from such payments.</w:t>
      </w:r>
    </w:p>
    <w:p>
      <w:pPr>
        <w:spacing w:after="0" w:line="181" w:lineRule="exact"/>
        <w:rPr>
          <w:sz w:val="20"/>
          <w:szCs w:val="20"/>
          <w:color w:val="auto"/>
        </w:rPr>
      </w:pPr>
    </w:p>
    <w:p>
      <w:pPr>
        <w:ind w:right="280" w:firstLine="427"/>
        <w:spacing w:after="0" w:line="277" w:lineRule="auto"/>
        <w:rPr>
          <w:sz w:val="20"/>
          <w:szCs w:val="20"/>
          <w:color w:val="auto"/>
        </w:rPr>
      </w:pPr>
      <w:r>
        <w:rPr>
          <w:rFonts w:ascii="Times New Roman" w:cs="Times New Roman" w:eastAsia="Times New Roman" w:hAnsi="Times New Roman"/>
          <w:sz w:val="18"/>
          <w:szCs w:val="18"/>
          <w:color w:val="auto"/>
        </w:rPr>
        <w:t>In the event Mr. Auerbach’s employment is terminated without “cause” or by Mr. Auerbach for “good reason,” in each case outside of the change in control context described above, then Mr. Auerbach will be entitled to receive, in addition to any accrued but unpaid compensation and benefits:</w:t>
      </w:r>
    </w:p>
    <w:p>
      <w:pPr>
        <w:spacing w:after="0" w:line="216" w:lineRule="exact"/>
        <w:rPr>
          <w:sz w:val="20"/>
          <w:szCs w:val="20"/>
          <w:color w:val="auto"/>
        </w:rPr>
      </w:pPr>
    </w:p>
    <w:p>
      <w:pPr>
        <w:ind w:left="460" w:right="120" w:hanging="144"/>
        <w:spacing w:after="0" w:line="262"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sum of his annual base salary and the maximum amount under our annual short-term cash incentive compensation program to which he would be eligible to receive for the year in which the termination occurs, payable over a period of one year following such termination in substantially equal installments; and</w:t>
      </w:r>
    </w:p>
    <w:p>
      <w:pPr>
        <w:spacing w:after="0" w:line="69"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18 months continuation of healthcare benefits to him and his dependents.</w:t>
      </w:r>
    </w:p>
    <w:p>
      <w:pPr>
        <w:spacing w:after="0" w:line="2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severance payments and benefits are contingent upon Mr. Auerbach’s execution and non-revocation of a general release of claims in favor of us.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Mr. Auerbach’s employment agreement:</w:t>
      </w:r>
    </w:p>
    <w:p>
      <w:pPr>
        <w:spacing w:after="0" w:line="254" w:lineRule="exact"/>
        <w:rPr>
          <w:sz w:val="20"/>
          <w:szCs w:val="20"/>
          <w:color w:val="auto"/>
        </w:rPr>
      </w:pPr>
    </w:p>
    <w:p>
      <w:pPr>
        <w:ind w:left="460" w:right="40" w:hanging="144"/>
        <w:spacing w:after="0" w:line="251"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“Cause” is generally defined as (i) the willful failure, disregard or refusal by the executive to perform his duties; (ii) any willful, intentional or grossly negligent act by the executive that injures in a material way our business or reputation; (iii) willful misconduct by the executive in respect of his duties or obligations; (iv) the executive’s commission of any felony or a misdemeanor involving moral turpitude (including entry of a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plea to any such charge); (v) the determination by us, after a reasonable and good-faith investigation following a written allegation by another employee of us that the executive engaged in some form of harassment prohibited by law, unless the executive’s actions were specifically directed by the board; (vi) any misappropriation or embezzlement of our property; (vii) breach by the executive of his obligations with respect to confidentiality, non-solicitation and non-disparagement or of any of his representations or warranties under the employment agreement; and (viii) material breach by the executive of any other provision of the employment agreement which is not cured within a specified timeframe.</w:t>
      </w:r>
    </w:p>
    <w:p>
      <w:pPr>
        <w:spacing w:after="0" w:line="82" w:lineRule="exact"/>
        <w:rPr>
          <w:rFonts w:ascii="Times New Roman" w:cs="Times New Roman" w:eastAsia="Times New Roman" w:hAnsi="Times New Roman"/>
          <w:sz w:val="18"/>
          <w:szCs w:val="18"/>
          <w:color w:val="auto"/>
        </w:rPr>
      </w:pPr>
    </w:p>
    <w:p>
      <w:pPr>
        <w:ind w:left="460" w:right="100" w:hanging="144"/>
        <w:spacing w:after="0" w:line="253"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is generally defined as: (i) a material diminution in the executive’s base salary, excluding any reduction applicable equally to all of our executive officers following a material decline in our earnings, public image, or performance; (ii) a material diminution in the executive’s authority, duties or responsibilities; (iii) a change in the geographic location at which the executive must perform services to a location that is greater than 25 miles from our principal place of business as of the date of the employment agreement; (iv) a direction to the executive to take any action that violates any applicable legal or regulatory requirement; or (v) any other action or inaction that constitutes a material breach by us of our obligations under the employment agreement.</w:t>
      </w:r>
    </w:p>
    <w:p>
      <w:pPr>
        <w:spacing w:after="0" w:line="238" w:lineRule="exact"/>
        <w:rPr>
          <w:rFonts w:ascii="Times New Roman" w:cs="Times New Roman" w:eastAsia="Times New Roman" w:hAnsi="Times New Roman"/>
          <w:sz w:val="18"/>
          <w:szCs w:val="18"/>
          <w:color w:val="auto"/>
        </w:rPr>
      </w:pPr>
    </w:p>
    <w:p>
      <w:pPr>
        <w:ind w:left="460" w:right="20" w:hanging="144"/>
        <w:spacing w:after="0" w:line="252"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is generally defined as: (i) the consummation of a transaction where any persons become the beneficial owners of Company securities representing more than 50% of the total combined voting power of our securities after such acquisition; (ii) a change in the composition of the board such that during any period of two consecutive years, individuals who originally formed our board, together with certain new directors, at the beginning of such period cease for any reason to constitute a majority of the board; (iii) us merging, consolidating, reorganizing or combining with another corporation or entity or a sale or other disposition of all or substantially all of our assets or an acquisition of assets or stock of another entity, in each case, where our stockholders prior to the transaction own less than 50% of the outstanding voting securities of the surviving corporation or entity; or (iv) our stockholders approving a liquidation or dissolution of us.</w:t>
      </w:r>
    </w:p>
    <w:p>
      <w:pPr>
        <w:spacing w:after="0" w:line="185" w:lineRule="exact"/>
        <w:rPr>
          <w:sz w:val="20"/>
          <w:szCs w:val="20"/>
          <w:color w:val="auto"/>
        </w:rPr>
      </w:pPr>
    </w:p>
    <w:p>
      <w:pPr>
        <w:ind w:right="200" w:firstLine="427"/>
        <w:spacing w:after="0" w:line="263" w:lineRule="auto"/>
        <w:rPr>
          <w:sz w:val="20"/>
          <w:szCs w:val="20"/>
          <w:color w:val="auto"/>
        </w:rPr>
      </w:pPr>
      <w:r>
        <w:rPr>
          <w:rFonts w:ascii="Times New Roman" w:cs="Times New Roman" w:eastAsia="Times New Roman" w:hAnsi="Times New Roman"/>
          <w:sz w:val="18"/>
          <w:szCs w:val="18"/>
          <w:i w:val="1"/>
          <w:iCs w:val="1"/>
          <w:color w:val="auto"/>
        </w:rPr>
        <w:t>Maximo F. Nougues and Jeff J. Ludwig</w:t>
      </w:r>
      <w:r>
        <w:rPr>
          <w:rFonts w:ascii="Times New Roman" w:cs="Times New Roman" w:eastAsia="Times New Roman" w:hAnsi="Times New Roman"/>
          <w:sz w:val="18"/>
          <w:szCs w:val="18"/>
          <w:color w:val="auto"/>
        </w:rPr>
        <w:t>. On November 5, 2018, we entered into an employment letter agreement with Maximo F. Nougues, our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and on March 16, 2020, we entered into an employment letter agreement with Jeff J. Ludwig, our former Chief Commercial Officer. In connection with Mr. Ludwig's termination, his employment letter agreement is no longer in effect.</w:t>
      </w:r>
    </w:p>
    <w:p>
      <w:pPr>
        <w:spacing w:after="0" w:line="175" w:lineRule="exact"/>
        <w:rPr>
          <w:sz w:val="20"/>
          <w:szCs w:val="20"/>
          <w:color w:val="auto"/>
        </w:rPr>
      </w:pPr>
    </w:p>
    <w:p>
      <w:pPr>
        <w:ind w:right="120" w:firstLine="427"/>
        <w:spacing w:after="0" w:line="262" w:lineRule="auto"/>
        <w:rPr>
          <w:sz w:val="20"/>
          <w:szCs w:val="20"/>
          <w:color w:val="auto"/>
        </w:rPr>
      </w:pPr>
      <w:r>
        <w:rPr>
          <w:rFonts w:ascii="Times New Roman" w:cs="Times New Roman" w:eastAsia="Times New Roman" w:hAnsi="Times New Roman"/>
          <w:sz w:val="18"/>
          <w:szCs w:val="18"/>
          <w:color w:val="auto"/>
        </w:rPr>
        <w:t>Pursuant to the employment letter agreements, in the event the Named Executive Officer’s employment is terminated by us without “cause” or by him for “good reason” (each as defined in the applicable employment letter and described below), he will be entitled to receive, in addition to any accrued but unpaid compensation and benefits:</w:t>
      </w:r>
    </w:p>
    <w:p>
      <w:pPr>
        <w:spacing w:after="0" w:line="229" w:lineRule="exact"/>
        <w:rPr>
          <w:sz w:val="20"/>
          <w:szCs w:val="20"/>
          <w:color w:val="auto"/>
        </w:rPr>
      </w:pPr>
    </w:p>
    <w:p>
      <w:pPr>
        <w:ind w:left="460" w:right="420" w:hanging="144"/>
        <w:spacing w:after="0" w:line="277"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base salary, and for Mr. Ludwig, the target amount payable under our annual short-term incentive compensation program, to be paid in substantially equal installments in accordance with the Company’s standard payroll policies;</w:t>
      </w:r>
    </w:p>
    <w:p>
      <w:pPr>
        <w:spacing w:after="0" w:line="55"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12 months continuation of healthcare benefits to him and his dependents; and</w:t>
      </w:r>
    </w:p>
    <w:p>
      <w:pPr>
        <w:spacing w:after="0" w:line="113" w:lineRule="exact"/>
        <w:rPr>
          <w:rFonts w:ascii="Times New Roman" w:cs="Times New Roman" w:eastAsia="Times New Roman" w:hAnsi="Times New Roman"/>
          <w:sz w:val="18"/>
          <w:szCs w:val="18"/>
          <w:color w:val="auto"/>
        </w:rPr>
      </w:pPr>
    </w:p>
    <w:p>
      <w:pPr>
        <w:ind w:left="460" w:right="320" w:hanging="144"/>
        <w:spacing w:after="0" w:line="277"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termination occurs on or within the 18 months following a “change in control” (as defined in the employment letter and described below), all unvested equity-based incentive awards will immediately vest on the termination date.</w:t>
      </w:r>
    </w:p>
    <w:p>
      <w:pPr>
        <w:spacing w:after="0" w:line="216" w:lineRule="exact"/>
        <w:rPr>
          <w:sz w:val="20"/>
          <w:szCs w:val="20"/>
          <w:color w:val="auto"/>
        </w:rPr>
      </w:pPr>
    </w:p>
    <w:p>
      <w:pPr>
        <w:ind w:right="20" w:firstLine="427"/>
        <w:spacing w:after="0" w:line="277" w:lineRule="auto"/>
        <w:rPr>
          <w:sz w:val="20"/>
          <w:szCs w:val="20"/>
          <w:color w:val="auto"/>
        </w:rPr>
      </w:pPr>
      <w:r>
        <w:rPr>
          <w:rFonts w:ascii="Times New Roman" w:cs="Times New Roman" w:eastAsia="Times New Roman" w:hAnsi="Times New Roman"/>
          <w:sz w:val="18"/>
          <w:szCs w:val="18"/>
          <w:color w:val="auto"/>
        </w:rPr>
        <w:t>All severance payments and benefits are contingent upon the Named Executive Officer’s execution and non-revocation of a general release of claims in favor of us. Under the terms of each Named Executive Officer’s employment letter:</w:t>
      </w:r>
    </w:p>
    <w:p>
      <w:pPr>
        <w:spacing w:after="0" w:line="216" w:lineRule="exact"/>
        <w:rPr>
          <w:sz w:val="20"/>
          <w:szCs w:val="20"/>
          <w:color w:val="auto"/>
        </w:rPr>
      </w:pPr>
    </w:p>
    <w:p>
      <w:pPr>
        <w:ind w:left="460" w:hanging="144"/>
        <w:spacing w:after="0" w:line="251"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“Cause” is generally defined as (i) the unauthorized use or disclosure of confidential information or trade secrets of the Company or any other material breach of a written agreement between the executive and the Company, including without limitation a material breach of any employment or confidentiality agreement; (ii) the executive’s indictment for, or the entry of a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by the executive to, a felony under the laws of the United States or any state thereof or other foreign jurisdiction or any crime involving dishonesty or moral turpitude; (iii) the executive’s gross negligence or willful misconduct or the executive’s willful or repeated failure or refusal to substantially perform assigned duties; (iv) any act of fraud, embezzlement, material misappropriation or dishonesty committed by the executive against the Company; or (v) any acts, omissions or statements by an executive which the Company reasonably determines to be materially detrimental or damaging to the reputation, operations, prospects or business relations of the Company.</w:t>
      </w:r>
    </w:p>
    <w:p>
      <w:pPr>
        <w:spacing w:after="0" w:line="82" w:lineRule="exact"/>
        <w:rPr>
          <w:rFonts w:ascii="Times New Roman" w:cs="Times New Roman" w:eastAsia="Times New Roman" w:hAnsi="Times New Roman"/>
          <w:sz w:val="18"/>
          <w:szCs w:val="18"/>
          <w:color w:val="auto"/>
        </w:rPr>
      </w:pPr>
    </w:p>
    <w:p>
      <w:pPr>
        <w:ind w:left="460" w:right="40" w:hanging="144"/>
        <w:spacing w:after="0" w:line="257"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is generally defined as (i) a material diminution in the executive’s base salary, excluding any reduction applicable equally to all of our executive officers following a material decline in our earnings, public image, or performance; (ii) a material diminution in the executive’s authority, duties or responsibilities; and (iii) a change in the geographic location at which the executive must perform services to a location that is greater than 25 miles from our principal place of business as of the date of the employment letter.</w:t>
      </w:r>
    </w:p>
    <w:p>
      <w:pPr>
        <w:sectPr>
          <w:pgSz w:w="11900" w:h="16838" w:orient="portrait"/>
          <w:cols w:equalWidth="0" w:num="1">
            <w:col w:w="11240"/>
          </w:cols>
          <w:pgMar w:left="320" w:top="121" w:right="339" w:bottom="0" w:gutter="0" w:footer="0" w:header="0"/>
        </w:sect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36" w:name="page37"/>
    <w:bookmarkEnd w:id="36"/>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3" w:lineRule="exact"/>
        <w:rPr>
          <w:sz w:val="20"/>
          <w:szCs w:val="20"/>
          <w:color w:val="auto"/>
        </w:rPr>
      </w:pPr>
    </w:p>
    <w:p>
      <w:pPr>
        <w:ind w:left="460" w:right="20" w:hanging="144"/>
        <w:spacing w:after="0" w:line="252"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is generally defined as: (i) the consummation of a transaction where any persons become the beneficial owners of Company securities representing more than 50% of the total combined voting power of our securities after such acquisition; (ii) a change in the composition of the board such that during any period of two consecutive years, individuals who originally formed our board, together with certain new directors, at the beginning of such period cease for any reason to constitute a majority of the board; (iii) us merging, consolidating, reorganizing or combining with another corporation or entity or a sale or other disposition of all or substantially all of our assets or an acquisition of assets or stock of another entity, in each case, where our stockholders prior to the transaction own less than 50% of the outstanding voting securities of the surviving corporation or entity; or (iv) our stockholders approving a liquidation or dissolution of us.</w:t>
      </w:r>
    </w:p>
    <w:p>
      <w:pPr>
        <w:spacing w:after="0" w:line="240" w:lineRule="exact"/>
        <w:rPr>
          <w:sz w:val="20"/>
          <w:szCs w:val="20"/>
          <w:color w:val="auto"/>
        </w:rPr>
      </w:pPr>
    </w:p>
    <w:p>
      <w:pPr>
        <w:ind w:right="180" w:firstLine="427"/>
        <w:spacing w:after="0" w:line="257" w:lineRule="auto"/>
        <w:rPr>
          <w:sz w:val="20"/>
          <w:szCs w:val="20"/>
          <w:color w:val="auto"/>
        </w:rPr>
      </w:pPr>
      <w:r>
        <w:rPr>
          <w:rFonts w:ascii="Times New Roman" w:cs="Times New Roman" w:eastAsia="Times New Roman" w:hAnsi="Times New Roman"/>
          <w:sz w:val="18"/>
          <w:szCs w:val="18"/>
          <w:color w:val="auto"/>
        </w:rPr>
        <w:t>On May 8, 2025, Mr. Ludwig was terminated by the Company without cause. Pursuant to the terms of his employment letter, as described above, Mr. Ludwig will receive cash severance payments totaling $868,937, representing 12 months of base salary and target amount payable under our annual short-term incentive compensation plan, plus approximately $64,847, representing the cost of 12 months of continued healthcare benefits to him and his dependents. In consideration for his separation benefits, Mr. Ludwig executed a release of claims in our favor.</w:t>
      </w:r>
    </w:p>
    <w:p>
      <w:pPr>
        <w:spacing w:after="0" w:line="179" w:lineRule="exact"/>
        <w:rPr>
          <w:sz w:val="20"/>
          <w:szCs w:val="20"/>
          <w:color w:val="auto"/>
        </w:rPr>
      </w:pPr>
    </w:p>
    <w:p>
      <w:pPr>
        <w:ind w:right="60" w:firstLine="427"/>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Terms of Equity Awards. </w:t>
      </w:r>
      <w:r>
        <w:rPr>
          <w:rFonts w:ascii="Times New Roman" w:cs="Times New Roman" w:eastAsia="Times New Roman" w:hAnsi="Times New Roman"/>
          <w:sz w:val="18"/>
          <w:szCs w:val="18"/>
          <w:color w:val="auto"/>
        </w:rPr>
        <w:t>Under the terms of the 2011 Plan, if, in the event of a change in control (as defined above), the successor corporation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 or substitute the then outstanding equity awards, such equity awards will immediately vest or become exercisable and be deemed exercised immediately prior to the change in control, as applicable.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Potential Payments</w:t>
      </w:r>
    </w:p>
    <w:p>
      <w:pPr>
        <w:spacing w:after="0" w:line="224" w:lineRule="exact"/>
        <w:rPr>
          <w:sz w:val="20"/>
          <w:szCs w:val="20"/>
          <w:color w:val="auto"/>
        </w:rPr>
      </w:pPr>
    </w:p>
    <w:p>
      <w:pPr>
        <w:ind w:firstLine="427"/>
        <w:spacing w:after="0" w:line="251" w:lineRule="auto"/>
        <w:rPr>
          <w:sz w:val="20"/>
          <w:szCs w:val="20"/>
          <w:color w:val="auto"/>
        </w:rPr>
      </w:pPr>
      <w:r>
        <w:rPr>
          <w:rFonts w:ascii="Times New Roman" w:cs="Times New Roman" w:eastAsia="Times New Roman" w:hAnsi="Times New Roman"/>
          <w:sz w:val="18"/>
          <w:szCs w:val="18"/>
          <w:color w:val="auto"/>
        </w:rPr>
        <w:t>The following table summarizes the payments that would have been made to Messrs. Auerbach and Nougues upon the occurrence of a qualifying termination of employment (whether or not in connection with a change in control), assuming that the Named Executive Officer’s termination of employment with our Company occurred on December 31, 2025. Amounts shown do not include (i) accrued but unpaid salary through the date of termination, and (ii) other benefits earned or accrued by the Named Executive Officer during employment that are available to all salaried employees, such as accrued vacation. With respect to Mr. Ludwig, the payments and benefits described below reflect the actual amounts provided to Mr. Ludwig in connection with his termination of employment by us without cause on May 8, 2025, as described above. In addition, the following table does not include Mr. Hunt because he would not be entitled to any payments and/or benefits pursuant to any plan or agreement upon a termination of employment and/or change in control occurring on December 31, 2025.</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also assumes that a successor corporation would assume or provide substitute equity awards in a change in control.</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Termination Without Cause or With</w:t>
            </w:r>
          </w:p>
        </w:tc>
        <w:tc>
          <w:tcPr>
            <w:tcW w:w="3020" w:type="dxa"/>
            <w:vAlign w:val="bottom"/>
            <w:gridSpan w:val="2"/>
          </w:tcPr>
          <w:p>
            <w:pPr>
              <w:jc w:val="center"/>
              <w:ind w:right="146"/>
              <w:spacing w:after="0"/>
              <w:rPr>
                <w:sz w:val="20"/>
                <w:szCs w:val="20"/>
                <w:color w:val="auto"/>
              </w:rPr>
            </w:pPr>
            <w:r>
              <w:rPr>
                <w:rFonts w:ascii="Times New Roman" w:cs="Times New Roman" w:eastAsia="Times New Roman" w:hAnsi="Times New Roman"/>
                <w:sz w:val="18"/>
                <w:szCs w:val="18"/>
                <w:b w:val="1"/>
                <w:bCs w:val="1"/>
                <w:color w:val="auto"/>
                <w:w w:val="97"/>
              </w:rPr>
              <w:t>Termination Without Cause or With</w:t>
            </w:r>
          </w:p>
        </w:tc>
        <w:tc>
          <w:tcPr>
            <w:tcW w:w="0" w:type="dxa"/>
            <w:vAlign w:val="bottom"/>
          </w:tcPr>
          <w:p>
            <w:pPr>
              <w:spacing w:after="0"/>
              <w:rPr>
                <w:sz w:val="1"/>
                <w:szCs w:val="1"/>
                <w:color w:val="auto"/>
              </w:rPr>
            </w:pPr>
          </w:p>
        </w:tc>
      </w:tr>
      <w:tr>
        <w:trPr>
          <w:trHeight w:val="213"/>
        </w:trPr>
        <w:tc>
          <w:tcPr>
            <w:tcW w:w="4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Good Reason (Not in Connection</w:t>
            </w:r>
          </w:p>
        </w:tc>
        <w:tc>
          <w:tcPr>
            <w:tcW w:w="3020" w:type="dxa"/>
            <w:vAlign w:val="bottom"/>
            <w:gridSpan w:val="2"/>
          </w:tcPr>
          <w:p>
            <w:pPr>
              <w:jc w:val="center"/>
              <w:ind w:right="126"/>
              <w:spacing w:after="0"/>
              <w:rPr>
                <w:sz w:val="20"/>
                <w:szCs w:val="20"/>
                <w:color w:val="auto"/>
              </w:rPr>
            </w:pPr>
            <w:r>
              <w:rPr>
                <w:rFonts w:ascii="Times New Roman" w:cs="Times New Roman" w:eastAsia="Times New Roman" w:hAnsi="Times New Roman"/>
                <w:sz w:val="18"/>
                <w:szCs w:val="18"/>
                <w:b w:val="1"/>
                <w:bCs w:val="1"/>
                <w:color w:val="auto"/>
                <w:w w:val="98"/>
              </w:rPr>
              <w:t>Good Reason (In Connection with</w:t>
            </w:r>
          </w:p>
        </w:tc>
        <w:tc>
          <w:tcPr>
            <w:tcW w:w="0" w:type="dxa"/>
            <w:vAlign w:val="bottom"/>
          </w:tcPr>
          <w:p>
            <w:pPr>
              <w:spacing w:after="0"/>
              <w:rPr>
                <w:sz w:val="1"/>
                <w:szCs w:val="1"/>
                <w:color w:val="auto"/>
              </w:rPr>
            </w:pPr>
          </w:p>
        </w:tc>
      </w:tr>
      <w:tr>
        <w:trPr>
          <w:trHeight w:val="236"/>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with Change in Control) ($)</w:t>
            </w:r>
          </w:p>
        </w:tc>
        <w:tc>
          <w:tcPr>
            <w:tcW w:w="3020" w:type="dxa"/>
            <w:vAlign w:val="bottom"/>
            <w:gridSpan w:val="2"/>
          </w:tcPr>
          <w:p>
            <w:pPr>
              <w:jc w:val="center"/>
              <w:ind w:right="146"/>
              <w:spacing w:after="0"/>
              <w:rPr>
                <w:sz w:val="20"/>
                <w:szCs w:val="20"/>
                <w:color w:val="auto"/>
              </w:rPr>
            </w:pPr>
            <w:r>
              <w:rPr>
                <w:rFonts w:ascii="Times New Roman" w:cs="Times New Roman" w:eastAsia="Times New Roman" w:hAnsi="Times New Roman"/>
                <w:sz w:val="18"/>
                <w:szCs w:val="18"/>
                <w:b w:val="1"/>
                <w:bCs w:val="1"/>
                <w:color w:val="auto"/>
                <w:w w:val="98"/>
              </w:rPr>
              <w:t>Change in Control) ($)</w:t>
            </w:r>
          </w:p>
        </w:tc>
        <w:tc>
          <w:tcPr>
            <w:tcW w:w="0" w:type="dxa"/>
            <w:vAlign w:val="bottom"/>
          </w:tcPr>
          <w:p>
            <w:pPr>
              <w:spacing w:after="0"/>
              <w:rPr>
                <w:sz w:val="1"/>
                <w:szCs w:val="1"/>
                <w:color w:val="auto"/>
              </w:rPr>
            </w:pPr>
          </w:p>
        </w:tc>
      </w:tr>
      <w:tr>
        <w:trPr>
          <w:trHeight w:val="207"/>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Alan H. Auerbach</w:t>
            </w:r>
          </w:p>
        </w:tc>
        <w:tc>
          <w:tcPr>
            <w:tcW w:w="220" w:type="dxa"/>
            <w:vAlign w:val="bottom"/>
            <w:shd w:val="clear" w:color="auto" w:fill="CCEEFF"/>
          </w:tcPr>
          <w:p>
            <w:pPr>
              <w:spacing w:after="0"/>
              <w:rPr>
                <w:sz w:val="17"/>
                <w:szCs w:val="17"/>
                <w:color w:val="auto"/>
              </w:rPr>
            </w:pPr>
          </w:p>
        </w:tc>
        <w:tc>
          <w:tcPr>
            <w:tcW w:w="284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6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5"/>
                <w:szCs w:val="15"/>
                <w:color w:val="auto"/>
              </w:rPr>
              <w:t xml:space="preserve">Cash Severance </w:t>
            </w:r>
            <w:r>
              <w:rPr>
                <w:rFonts w:ascii="Times New Roman" w:cs="Times New Roman" w:eastAsia="Times New Roman" w:hAnsi="Times New Roman"/>
                <w:sz w:val="24"/>
                <w:szCs w:val="24"/>
                <w:color w:val="auto"/>
                <w:vertAlign w:val="superscript"/>
              </w:rPr>
              <w:t>(1)</w:t>
            </w:r>
          </w:p>
        </w:tc>
        <w:tc>
          <w:tcPr>
            <w:tcW w:w="220" w:type="dxa"/>
            <w:vAlign w:val="bottom"/>
            <w:shd w:val="clear" w:color="auto" w:fill="CCEEFF"/>
          </w:tcPr>
          <w:p>
            <w:pPr>
              <w:spacing w:after="0"/>
              <w:rPr>
                <w:sz w:val="18"/>
                <w:szCs w:val="18"/>
                <w:color w:val="auto"/>
              </w:rPr>
            </w:pPr>
          </w:p>
        </w:tc>
        <w:tc>
          <w:tcPr>
            <w:tcW w:w="2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2,142,066</w:t>
            </w:r>
          </w:p>
        </w:tc>
        <w:tc>
          <w:tcPr>
            <w:tcW w:w="2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8"/>
                <w:szCs w:val="18"/>
                <w:color w:val="auto"/>
              </w:rPr>
              <w:t>4,284,132</w:t>
            </w:r>
          </w:p>
        </w:tc>
        <w:tc>
          <w:tcPr>
            <w:tcW w:w="0" w:type="dxa"/>
            <w:vAlign w:val="bottom"/>
          </w:tcPr>
          <w:p>
            <w:pPr>
              <w:spacing w:after="0"/>
              <w:rPr>
                <w:sz w:val="1"/>
                <w:szCs w:val="1"/>
                <w:color w:val="auto"/>
              </w:rPr>
            </w:pPr>
          </w:p>
        </w:tc>
      </w:tr>
      <w:tr>
        <w:trPr>
          <w:trHeight w:val="21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Continued Health Benefits</w:t>
            </w:r>
          </w:p>
        </w:tc>
        <w:tc>
          <w:tcPr>
            <w:tcW w:w="220" w:type="dxa"/>
            <w:vAlign w:val="bottom"/>
            <w:shd w:val="clear" w:color="auto" w:fill="CCEEFF"/>
          </w:tcPr>
          <w:p>
            <w:pPr>
              <w:spacing w:after="0"/>
              <w:rPr>
                <w:sz w:val="18"/>
                <w:szCs w:val="18"/>
                <w:color w:val="auto"/>
              </w:rPr>
            </w:pPr>
          </w:p>
        </w:tc>
        <w:tc>
          <w:tcPr>
            <w:tcW w:w="2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31,339</w:t>
            </w:r>
          </w:p>
        </w:tc>
        <w:tc>
          <w:tcPr>
            <w:tcW w:w="2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8"/>
                <w:szCs w:val="18"/>
                <w:color w:val="auto"/>
              </w:rPr>
              <w:t>31,339</w:t>
            </w:r>
          </w:p>
        </w:tc>
        <w:tc>
          <w:tcPr>
            <w:tcW w:w="0" w:type="dxa"/>
            <w:vAlign w:val="bottom"/>
          </w:tcPr>
          <w:p>
            <w:pPr>
              <w:spacing w:after="0"/>
              <w:rPr>
                <w:sz w:val="1"/>
                <w:szCs w:val="1"/>
                <w:color w:val="auto"/>
              </w:rPr>
            </w:pPr>
          </w:p>
        </w:tc>
      </w:tr>
      <w:tr>
        <w:trPr>
          <w:trHeight w:val="21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Acceleration of Equity Awards</w:t>
            </w:r>
          </w:p>
        </w:tc>
        <w:tc>
          <w:tcPr>
            <w:tcW w:w="220" w:type="dxa"/>
            <w:vAlign w:val="bottom"/>
            <w:shd w:val="clear" w:color="auto" w:fill="CCEEFF"/>
          </w:tcPr>
          <w:p>
            <w:pPr>
              <w:spacing w:after="0"/>
              <w:rPr>
                <w:sz w:val="18"/>
                <w:szCs w:val="18"/>
                <w:color w:val="auto"/>
              </w:rPr>
            </w:pPr>
          </w:p>
        </w:tc>
        <w:tc>
          <w:tcPr>
            <w:tcW w:w="2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1,789,396</w:t>
            </w: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3"/>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280G Excise Tax Gross-Up</w:t>
            </w:r>
          </w:p>
        </w:tc>
        <w:tc>
          <w:tcPr>
            <w:tcW w:w="220" w:type="dxa"/>
            <w:vAlign w:val="bottom"/>
            <w:tcBorders>
              <w:bottom w:val="single" w:sz="8" w:color="CCEEFF"/>
            </w:tcBorders>
            <w:shd w:val="clear" w:color="auto" w:fill="CCEEFF"/>
          </w:tcPr>
          <w:p>
            <w:pPr>
              <w:spacing w:after="0"/>
              <w:rPr>
                <w:sz w:val="18"/>
                <w:szCs w:val="18"/>
                <w:color w:val="auto"/>
              </w:rPr>
            </w:pPr>
          </w:p>
        </w:tc>
        <w:tc>
          <w:tcPr>
            <w:tcW w:w="2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(3)</w:t>
            </w:r>
          </w:p>
        </w:tc>
        <w:tc>
          <w:tcPr>
            <w:tcW w:w="0" w:type="dxa"/>
            <w:vAlign w:val="bottom"/>
          </w:tcPr>
          <w:p>
            <w:pPr>
              <w:spacing w:after="0"/>
              <w:rPr>
                <w:sz w:val="1"/>
                <w:szCs w:val="1"/>
                <w:color w:val="auto"/>
              </w:rPr>
            </w:pPr>
          </w:p>
        </w:tc>
      </w:tr>
      <w:tr>
        <w:trPr>
          <w:trHeight w:val="20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220" w:type="dxa"/>
            <w:vAlign w:val="bottom"/>
            <w:shd w:val="clear" w:color="auto" w:fill="CCEEFF"/>
          </w:tcPr>
          <w:p>
            <w:pPr>
              <w:spacing w:after="0"/>
              <w:rPr>
                <w:sz w:val="17"/>
                <w:szCs w:val="17"/>
                <w:color w:val="auto"/>
              </w:rPr>
            </w:pPr>
          </w:p>
        </w:tc>
        <w:tc>
          <w:tcPr>
            <w:tcW w:w="2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2,173,405</w:t>
            </w:r>
          </w:p>
        </w:tc>
        <w:tc>
          <w:tcPr>
            <w:tcW w:w="200" w:type="dxa"/>
            <w:vAlign w:val="bottom"/>
            <w:shd w:val="clear" w:color="auto" w:fill="CCEEFF"/>
          </w:tcPr>
          <w:p>
            <w:pPr>
              <w:spacing w:after="0"/>
              <w:rPr>
                <w:sz w:val="17"/>
                <w:szCs w:val="17"/>
                <w:color w:val="auto"/>
              </w:rPr>
            </w:pP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6,104,867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96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Maximo F. Nougues</w:t>
            </w:r>
          </w:p>
        </w:tc>
        <w:tc>
          <w:tcPr>
            <w:tcW w:w="2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Cash Severance (4)</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562,961</w:t>
            </w:r>
          </w:p>
        </w:tc>
        <w:tc>
          <w:tcPr>
            <w:tcW w:w="200" w:type="dxa"/>
            <w:vAlign w:val="bottom"/>
          </w:tcPr>
          <w:p>
            <w:pPr>
              <w:spacing w:after="0"/>
              <w:rPr>
                <w:sz w:val="18"/>
                <w:szCs w:val="18"/>
                <w:color w:val="auto"/>
              </w:rPr>
            </w:pPr>
          </w:p>
        </w:tc>
        <w:tc>
          <w:tcPr>
            <w:tcW w:w="30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rPr>
              <w:t>562,961</w:t>
            </w:r>
          </w:p>
        </w:tc>
        <w:tc>
          <w:tcPr>
            <w:tcW w:w="0" w:type="dxa"/>
            <w:vAlign w:val="bottom"/>
          </w:tcPr>
          <w:p>
            <w:pPr>
              <w:spacing w:after="0"/>
              <w:rPr>
                <w:sz w:val="1"/>
                <w:szCs w:val="1"/>
                <w:color w:val="auto"/>
              </w:rPr>
            </w:pPr>
          </w:p>
        </w:tc>
      </w:tr>
      <w:tr>
        <w:trPr>
          <w:trHeight w:val="21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Continued Health Benefits</w:t>
            </w:r>
          </w:p>
        </w:tc>
        <w:tc>
          <w:tcPr>
            <w:tcW w:w="3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52,705</w:t>
            </w:r>
          </w:p>
        </w:tc>
        <w:tc>
          <w:tcPr>
            <w:tcW w:w="302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rPr>
              <w:t>52,705</w:t>
            </w:r>
          </w:p>
        </w:tc>
        <w:tc>
          <w:tcPr>
            <w:tcW w:w="0" w:type="dxa"/>
            <w:vAlign w:val="bottom"/>
          </w:tcPr>
          <w:p>
            <w:pPr>
              <w:spacing w:after="0"/>
              <w:rPr>
                <w:sz w:val="1"/>
                <w:szCs w:val="1"/>
                <w:color w:val="auto"/>
              </w:rPr>
            </w:pPr>
          </w:p>
        </w:tc>
      </w:tr>
      <w:tr>
        <w:trPr>
          <w:trHeight w:val="23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Acceleration of Equity Awards</w:t>
            </w:r>
          </w:p>
        </w:tc>
        <w:tc>
          <w:tcPr>
            <w:tcW w:w="220" w:type="dxa"/>
            <w:vAlign w:val="bottom"/>
          </w:tcPr>
          <w:p>
            <w:pPr>
              <w:spacing w:after="0"/>
              <w:rPr>
                <w:sz w:val="20"/>
                <w:szCs w:val="20"/>
                <w:color w:val="auto"/>
              </w:rPr>
            </w:pPr>
          </w:p>
        </w:tc>
        <w:tc>
          <w:tcPr>
            <w:tcW w:w="3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gridSpan w:val="2"/>
          </w:tcPr>
          <w:p>
            <w:pPr>
              <w:jc w:val="right"/>
              <w:spacing w:after="0" w:line="232" w:lineRule="exact"/>
              <w:rPr>
                <w:sz w:val="20"/>
                <w:szCs w:val="20"/>
                <w:color w:val="auto"/>
              </w:rPr>
            </w:pPr>
            <w:r>
              <w:rPr>
                <w:rFonts w:ascii="Times New Roman" w:cs="Times New Roman" w:eastAsia="Times New Roman" w:hAnsi="Times New Roman"/>
                <w:sz w:val="16"/>
                <w:szCs w:val="16"/>
                <w:color w:val="auto"/>
              </w:rPr>
              <w:t>540,917</w:t>
            </w:r>
            <w:r>
              <w:rPr>
                <w:rFonts w:ascii="Times New Roman" w:cs="Times New Roman" w:eastAsia="Times New Roman" w:hAnsi="Times New Roman"/>
                <w:sz w:val="26"/>
                <w:szCs w:val="26"/>
                <w:color w:val="auto"/>
                <w:vertAlign w:val="subscript"/>
              </w:rPr>
              <w:t>(2)</w:t>
            </w:r>
          </w:p>
        </w:tc>
        <w:tc>
          <w:tcPr>
            <w:tcW w:w="0" w:type="dxa"/>
            <w:vAlign w:val="bottom"/>
          </w:tcPr>
          <w:p>
            <w:pPr>
              <w:spacing w:after="0"/>
              <w:rPr>
                <w:sz w:val="1"/>
                <w:szCs w:val="1"/>
                <w:color w:val="auto"/>
              </w:rPr>
            </w:pPr>
          </w:p>
        </w:tc>
      </w:tr>
      <w:tr>
        <w:trPr>
          <w:trHeight w:val="207"/>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220" w:type="dxa"/>
            <w:vAlign w:val="bottom"/>
          </w:tcPr>
          <w:p>
            <w:pPr>
              <w:spacing w:after="0"/>
              <w:rPr>
                <w:sz w:val="17"/>
                <w:szCs w:val="17"/>
                <w:color w:val="auto"/>
              </w:rPr>
            </w:pPr>
          </w:p>
        </w:tc>
        <w:tc>
          <w:tcPr>
            <w:tcW w:w="2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615,666</w:t>
            </w:r>
          </w:p>
        </w:tc>
        <w:tc>
          <w:tcPr>
            <w:tcW w:w="200" w:type="dxa"/>
            <w:vAlign w:val="bottom"/>
          </w:tcPr>
          <w:p>
            <w:pPr>
              <w:spacing w:after="0"/>
              <w:rPr>
                <w:sz w:val="17"/>
                <w:szCs w:val="17"/>
                <w:color w:val="auto"/>
              </w:rPr>
            </w:pPr>
          </w:p>
        </w:tc>
        <w:tc>
          <w:tcPr>
            <w:tcW w:w="2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1,156,583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Jeff J. Ludwig</w:t>
            </w:r>
          </w:p>
        </w:tc>
        <w:tc>
          <w:tcPr>
            <w:tcW w:w="220" w:type="dxa"/>
            <w:vAlign w:val="bottom"/>
            <w:shd w:val="clear" w:color="auto" w:fill="CCEEFF"/>
          </w:tcPr>
          <w:p>
            <w:pPr>
              <w:spacing w:after="0"/>
              <w:rPr>
                <w:sz w:val="18"/>
                <w:szCs w:val="18"/>
                <w:color w:val="auto"/>
              </w:rPr>
            </w:pPr>
          </w:p>
        </w:tc>
        <w:tc>
          <w:tcPr>
            <w:tcW w:w="2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Severance (4)</w:t>
            </w:r>
          </w:p>
        </w:tc>
        <w:tc>
          <w:tcPr>
            <w:tcW w:w="220" w:type="dxa"/>
            <w:vAlign w:val="bottom"/>
            <w:shd w:val="clear" w:color="auto" w:fill="CCEEFF"/>
          </w:tcPr>
          <w:p>
            <w:pPr>
              <w:spacing w:after="0"/>
              <w:rPr>
                <w:sz w:val="18"/>
                <w:szCs w:val="18"/>
                <w:color w:val="auto"/>
              </w:rPr>
            </w:pPr>
          </w:p>
        </w:tc>
        <w:tc>
          <w:tcPr>
            <w:tcW w:w="2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868,937</w:t>
            </w:r>
          </w:p>
        </w:tc>
        <w:tc>
          <w:tcPr>
            <w:tcW w:w="2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Continued Health Benefits</w:t>
            </w:r>
          </w:p>
        </w:tc>
        <w:tc>
          <w:tcPr>
            <w:tcW w:w="220" w:type="dxa"/>
            <w:vAlign w:val="bottom"/>
            <w:shd w:val="clear" w:color="auto" w:fill="CCEEFF"/>
          </w:tcPr>
          <w:p>
            <w:pPr>
              <w:spacing w:after="0"/>
              <w:rPr>
                <w:sz w:val="18"/>
                <w:szCs w:val="18"/>
                <w:color w:val="auto"/>
              </w:rPr>
            </w:pPr>
          </w:p>
        </w:tc>
        <w:tc>
          <w:tcPr>
            <w:tcW w:w="2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64,847</w:t>
            </w:r>
          </w:p>
        </w:tc>
        <w:tc>
          <w:tcPr>
            <w:tcW w:w="2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Acceleration of Equity Awards</w:t>
            </w:r>
          </w:p>
        </w:tc>
        <w:tc>
          <w:tcPr>
            <w:tcW w:w="220" w:type="dxa"/>
            <w:vAlign w:val="bottom"/>
            <w:shd w:val="clear" w:color="auto" w:fill="CCEEFF"/>
          </w:tcPr>
          <w:p>
            <w:pPr>
              <w:spacing w:after="0"/>
              <w:rPr>
                <w:sz w:val="18"/>
                <w:szCs w:val="18"/>
                <w:color w:val="auto"/>
              </w:rPr>
            </w:pPr>
          </w:p>
        </w:tc>
        <w:tc>
          <w:tcPr>
            <w:tcW w:w="2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8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220" w:type="dxa"/>
            <w:vAlign w:val="bottom"/>
            <w:vMerge w:val="continue"/>
            <w:shd w:val="clear" w:color="auto" w:fill="CCEEFF"/>
          </w:tcPr>
          <w:p>
            <w:pPr>
              <w:spacing w:after="0"/>
              <w:rPr>
                <w:sz w:val="17"/>
                <w:szCs w:val="17"/>
                <w:color w:val="auto"/>
              </w:rPr>
            </w:pPr>
          </w:p>
        </w:tc>
        <w:tc>
          <w:tcPr>
            <w:tcW w:w="2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933,784</w:t>
            </w:r>
          </w:p>
        </w:tc>
        <w:tc>
          <w:tcPr>
            <w:tcW w:w="200" w:type="dxa"/>
            <w:vAlign w:val="bottom"/>
            <w:shd w:val="clear" w:color="auto" w:fill="CCEEFF"/>
          </w:tcPr>
          <w:p>
            <w:pPr>
              <w:spacing w:after="0"/>
              <w:rPr>
                <w:sz w:val="17"/>
                <w:szCs w:val="17"/>
                <w:color w:val="auto"/>
              </w:rPr>
            </w:pPr>
          </w:p>
        </w:tc>
        <w:tc>
          <w:tcPr>
            <w:tcW w:w="302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480" w:right="80" w:hanging="473"/>
        <w:spacing w:after="0" w:line="254" w:lineRule="auto"/>
        <w:tabs>
          <w:tab w:leader="none" w:pos="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terms of his agreement, Mr. Auerbach’s cash severance includes annual salary plus the maximum award amount payable under our short-term incentive compensation program for the year of termination, and in the case of a termination in connection with a change in control, these amounts are multiplied by two.</w:t>
      </w:r>
    </w:p>
    <w:p>
      <w:pPr>
        <w:spacing w:after="0" w:line="2" w:lineRule="exact"/>
        <w:rPr>
          <w:rFonts w:ascii="Times New Roman" w:cs="Times New Roman" w:eastAsia="Times New Roman" w:hAnsi="Times New Roman"/>
          <w:sz w:val="18"/>
          <w:szCs w:val="18"/>
          <w:color w:val="auto"/>
        </w:rPr>
      </w:pPr>
    </w:p>
    <w:p>
      <w:pPr>
        <w:ind w:left="480" w:right="160" w:hanging="473"/>
        <w:spacing w:after="0" w:line="247" w:lineRule="auto"/>
        <w:tabs>
          <w:tab w:leader="none" w:pos="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sum of the values attributable to the accelerated vesting of the unvested portion of all outstanding stock options and RSUs held by the executive officers as of December 31, 2025. The value of the accelerated equity awards was calculated based on the closing price of our common stock on December 31, 2025 (the last trading day of the year) of $5.95 per share.</w:t>
      </w:r>
    </w:p>
    <w:p>
      <w:pPr>
        <w:spacing w:after="0" w:line="1" w:lineRule="exact"/>
        <w:rPr>
          <w:rFonts w:ascii="Times New Roman" w:cs="Times New Roman" w:eastAsia="Times New Roman" w:hAnsi="Times New Roman"/>
          <w:sz w:val="18"/>
          <w:szCs w:val="18"/>
          <w:color w:val="auto"/>
        </w:rPr>
      </w:pPr>
    </w:p>
    <w:p>
      <w:pPr>
        <w:ind w:left="480" w:right="120" w:hanging="473"/>
        <w:spacing w:after="0" w:line="247" w:lineRule="auto"/>
        <w:tabs>
          <w:tab w:leader="none" w:pos="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gross-up for excise taxes would be payable to Mr. Auerbach, or adjustments to his severance amounts, under his employment agreement if he had been terminated in connection with a change in control on December 31, 2025.</w:t>
      </w:r>
    </w:p>
    <w:p>
      <w:pPr>
        <w:ind w:left="480" w:right="180" w:hanging="473"/>
        <w:spacing w:after="0" w:line="181" w:lineRule="auto"/>
        <w:tabs>
          <w:tab w:leader="none" w:pos="480" w:val="left"/>
        </w:tabs>
        <w:numPr>
          <w:ilvl w:val="0"/>
          <w:numId w:val="46"/>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7"/>
          <w:szCs w:val="17"/>
          <w:color w:val="auto"/>
        </w:rPr>
        <w:t>In accordance with the terms of their agreements, cash severance includes annual salary, and for Mr. Ludwig, the target award amount payable under our short-term incentive compensation program for the year of termination.</w:t>
      </w:r>
    </w:p>
    <w:p>
      <w:pPr>
        <w:spacing w:after="0" w:line="1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OTHER COMPENSATION MATTERS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224" w:lineRule="exact"/>
        <w:rPr>
          <w:sz w:val="20"/>
          <w:szCs w:val="20"/>
          <w:color w:val="auto"/>
        </w:rPr>
      </w:pPr>
    </w:p>
    <w:p>
      <w:pPr>
        <w:ind w:right="60" w:firstLine="427"/>
        <w:spacing w:after="0" w:line="257" w:lineRule="auto"/>
        <w:rPr>
          <w:sz w:val="20"/>
          <w:szCs w:val="20"/>
          <w:color w:val="auto"/>
        </w:rPr>
      </w:pPr>
      <w:r>
        <w:rPr>
          <w:rFonts w:ascii="Times New Roman" w:cs="Times New Roman" w:eastAsia="Times New Roman" w:hAnsi="Times New Roman"/>
          <w:sz w:val="18"/>
          <w:szCs w:val="18"/>
          <w:color w:val="auto"/>
        </w:rPr>
        <w:t>As required by Item 402(u) of Regulation S-K, we are providing the following information regarding the ratio of the annual total compensation of the individual identified as our median paid employee to the annual total compensation of Mr. Auerbach, our President and Chief Executive Officer (our “CEO”). We consider the pay ratio specified below to be a reasonable estimate, calculated in a manner that is intended to be consistent with the requirements of Item 402(u) of Regulation S-K.</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2025, our last completed fiscal year:</w:t>
      </w:r>
    </w:p>
    <w:p>
      <w:pPr>
        <w:spacing w:after="0" w:line="273" w:lineRule="exact"/>
        <w:rPr>
          <w:sz w:val="20"/>
          <w:szCs w:val="20"/>
          <w:color w:val="auto"/>
        </w:rPr>
      </w:pPr>
    </w:p>
    <w:p>
      <w:pPr>
        <w:ind w:left="460" w:hanging="144"/>
        <w:spacing w:after="0"/>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the employee who was identified as our median compensated employee (other than our CEO) was $273,504; and</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CEO, as reported in the Summary Compensation Table above, was $3,062,337.</w:t>
      </w:r>
    </w:p>
    <w:p>
      <w:pPr>
        <w:sectPr>
          <w:pgSz w:w="11900" w:h="16860" w:orient="portrait"/>
          <w:cols w:equalWidth="0" w:num="1">
            <w:col w:w="11240"/>
          </w:cols>
          <w:pgMar w:left="320" w:top="121" w:right="339" w:bottom="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83820</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on this information, for 2025 the ratio of CEO annual total compensation to that of the median identified employee is 11:1.</w:t>
      </w:r>
    </w:p>
    <w:p>
      <w:pPr>
        <w:spacing w:after="0" w:line="220" w:lineRule="exact"/>
        <w:rPr>
          <w:sz w:val="20"/>
          <w:szCs w:val="20"/>
          <w:color w:val="auto"/>
        </w:rPr>
      </w:pPr>
    </w:p>
    <w:p>
      <w:pPr>
        <w:ind w:right="700" w:firstLine="427"/>
        <w:spacing w:after="0" w:line="277" w:lineRule="auto"/>
        <w:rPr>
          <w:sz w:val="20"/>
          <w:szCs w:val="20"/>
          <w:color w:val="auto"/>
        </w:rPr>
      </w:pPr>
      <w:r>
        <w:rPr>
          <w:rFonts w:ascii="Times New Roman" w:cs="Times New Roman" w:eastAsia="Times New Roman" w:hAnsi="Times New Roman"/>
          <w:sz w:val="18"/>
          <w:szCs w:val="18"/>
          <w:color w:val="auto"/>
        </w:rPr>
        <w:t>This pay ratio is a reasonable estimate calculated in a manner consistent with SEC rules based on our payroll and employment records and the methodology described below.</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Methodology for Determining Our Median Employee</w:t>
      </w:r>
    </w:p>
    <w:p>
      <w:pPr>
        <w:spacing w:after="0" w:line="222" w:lineRule="exact"/>
        <w:rPr>
          <w:sz w:val="20"/>
          <w:szCs w:val="20"/>
          <w:color w:val="auto"/>
        </w:rPr>
      </w:pPr>
    </w:p>
    <w:p>
      <w:pPr>
        <w:ind w:right="80" w:firstLine="427"/>
        <w:spacing w:after="0" w:line="257" w:lineRule="auto"/>
        <w:rPr>
          <w:sz w:val="20"/>
          <w:szCs w:val="20"/>
          <w:color w:val="auto"/>
        </w:rPr>
      </w:pPr>
      <w:r>
        <w:rPr>
          <w:rFonts w:ascii="Times New Roman" w:cs="Times New Roman" w:eastAsia="Times New Roman" w:hAnsi="Times New Roman"/>
          <w:sz w:val="18"/>
          <w:szCs w:val="18"/>
          <w:color w:val="auto"/>
        </w:rPr>
        <w:t>The Company used our employee population data as of December 31, 2025 as the reference date for identifying our median employee. To identify the median employee from our employee population, we calculated each employee’s 2025 base salary, actual amount paid under our annual short-term incentive compensation program and commission earned in 2025 and grant-date fair value of equity awards granted in 2025. In identifying the median employee, we annualized the compensation of all full-time employees who were new hires in 2025 or were on a leave of absence in a portion of 2025.</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Annual Total Compensation</w:t>
      </w:r>
    </w:p>
    <w:p>
      <w:pPr>
        <w:spacing w:after="0" w:line="222" w:lineRule="exact"/>
        <w:rPr>
          <w:sz w:val="20"/>
          <w:szCs w:val="20"/>
          <w:color w:val="auto"/>
        </w:rPr>
      </w:pPr>
    </w:p>
    <w:p>
      <w:pPr>
        <w:ind w:right="120" w:firstLine="427"/>
        <w:spacing w:after="0" w:line="262" w:lineRule="auto"/>
        <w:rPr>
          <w:sz w:val="20"/>
          <w:szCs w:val="20"/>
          <w:color w:val="auto"/>
        </w:rPr>
      </w:pPr>
      <w:r>
        <w:rPr>
          <w:rFonts w:ascii="Times New Roman" w:cs="Times New Roman" w:eastAsia="Times New Roman" w:hAnsi="Times New Roman"/>
          <w:sz w:val="18"/>
          <w:szCs w:val="18"/>
          <w:color w:val="auto"/>
        </w:rPr>
        <w:t>With respect to the annual total compensation of the employee who represents our median compensated employee, we calculated such employee’s compensation for 2025 in accordance with the requirements of Item 402(c)(2)(x) of Regulation S-K. We used the amount reported in the “Total” column for 2025 of our Summary Compensation Table included in this Proxy Statement for the annual total compensation of our CEO.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Pay-Versus-Performance Disclosure</w:t>
      </w:r>
    </w:p>
    <w:p>
      <w:pPr>
        <w:spacing w:after="0" w:line="224" w:lineRule="exact"/>
        <w:rPr>
          <w:sz w:val="20"/>
          <w:szCs w:val="20"/>
          <w:color w:val="auto"/>
        </w:rPr>
      </w:pPr>
    </w:p>
    <w:p>
      <w:pPr>
        <w:ind w:right="220" w:firstLine="427"/>
        <w:spacing w:after="0" w:line="257"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information about the relationship between the compensation actually paid (or “CAP”) to our Named Executive Officers ("NEOs”) and required financial performance measures. For a more complete explanation of “pay for performance” philosophy and how executive compensation aligns with our performance, please refer to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Pay-Versus-Performance Table</w:t>
      </w:r>
    </w:p>
    <w:p>
      <w:pPr>
        <w:spacing w:after="0" w:line="22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Value of Initial Fixed $100</w:t>
      </w:r>
    </w:p>
    <w:p>
      <w:pPr>
        <w:ind w:left="6360"/>
        <w:spacing w:after="0" w:line="185" w:lineRule="auto"/>
        <w:rPr>
          <w:sz w:val="20"/>
          <w:szCs w:val="20"/>
          <w:color w:val="auto"/>
        </w:rPr>
      </w:pPr>
      <w:r>
        <w:rPr>
          <w:rFonts w:ascii="Times New Roman" w:cs="Times New Roman" w:eastAsia="Times New Roman" w:hAnsi="Times New Roman"/>
          <w:sz w:val="18"/>
          <w:szCs w:val="18"/>
          <w:b w:val="1"/>
          <w:bCs w:val="1"/>
          <w:color w:val="auto"/>
        </w:rPr>
        <w:t xml:space="preserve">Investment Based On: </w:t>
      </w:r>
      <w:r>
        <w:rPr>
          <w:rFonts w:ascii="Times New Roman" w:cs="Times New Roman" w:eastAsia="Times New Roman" w:hAnsi="Times New Roman"/>
          <w:sz w:val="29"/>
          <w:szCs w:val="29"/>
          <w:b w:val="1"/>
          <w:bCs w:val="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-8890</wp:posOffset>
            </wp:positionV>
            <wp:extent cx="14236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tbl>
      <w:tblPr>
        <w:tblLayout w:type="fixed"/>
        <w:tblInd w:w="120" w:type="dxa"/>
        <w:tblCellMar>
          <w:top w:w="0" w:type="dxa"/>
          <w:left w:w="0" w:type="dxa"/>
          <w:bottom w:w="0" w:type="dxa"/>
          <w:right w:w="0" w:type="dxa"/>
        </w:tblCellMar>
      </w:tblPr>
      <w:tr>
        <w:trPr>
          <w:trHeight w:val="159"/>
        </w:trPr>
        <w:tc>
          <w:tcPr>
            <w:tcW w:w="5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60" w:type="dxa"/>
            <w:vAlign w:val="bottom"/>
          </w:tcPr>
          <w:p>
            <w:pPr>
              <w:jc w:val="center"/>
              <w:spacing w:after="0" w:line="159"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80" w:type="dxa"/>
            <w:vAlign w:val="bottom"/>
          </w:tcPr>
          <w:p>
            <w:pPr>
              <w:spacing w:after="0"/>
              <w:rPr>
                <w:sz w:val="13"/>
                <w:szCs w:val="13"/>
                <w:color w:val="auto"/>
              </w:rPr>
            </w:pPr>
          </w:p>
        </w:tc>
        <w:tc>
          <w:tcPr>
            <w:tcW w:w="1260" w:type="dxa"/>
            <w:vAlign w:val="bottom"/>
          </w:tcPr>
          <w:p>
            <w:pPr>
              <w:jc w:val="center"/>
              <w:spacing w:after="0" w:line="159" w:lineRule="exact"/>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3"/>
        </w:trPr>
        <w:tc>
          <w:tcPr>
            <w:tcW w:w="5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Summary</w:t>
            </w:r>
          </w:p>
        </w:tc>
        <w:tc>
          <w:tcPr>
            <w:tcW w:w="2640" w:type="dxa"/>
            <w:vAlign w:val="bottom"/>
            <w:gridSpan w:val="2"/>
          </w:tcPr>
          <w:p>
            <w:pPr>
              <w:ind w:left="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Actually Paid</w:t>
            </w:r>
            <w:r>
              <w:rPr>
                <w:rFonts w:ascii="Times New Roman" w:cs="Times New Roman" w:eastAsia="Times New Roman" w:hAnsi="Times New Roman"/>
                <w:sz w:val="14"/>
                <w:szCs w:val="14"/>
                <w:b w:val="1"/>
                <w:bCs w:val="1"/>
                <w:color w:val="auto"/>
              </w:rPr>
              <w:t xml:space="preserve"> Average Summary</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3"/>
        </w:trPr>
        <w:tc>
          <w:tcPr>
            <w:tcW w:w="520" w:type="dxa"/>
            <w:vAlign w:val="bottom"/>
          </w:tcPr>
          <w:p>
            <w:pPr>
              <w:spacing w:after="0"/>
              <w:rPr>
                <w:sz w:val="18"/>
                <w:szCs w:val="18"/>
                <w:color w:val="auto"/>
              </w:rPr>
            </w:pPr>
          </w:p>
        </w:tc>
        <w:tc>
          <w:tcPr>
            <w:tcW w:w="276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14"/>
                <w:szCs w:val="14"/>
                <w:b w:val="1"/>
                <w:bCs w:val="1"/>
                <w:color w:val="auto"/>
              </w:rPr>
              <w:t xml:space="preserve">Compensation Table </w:t>
            </w:r>
            <w:r>
              <w:rPr>
                <w:rFonts w:ascii="Times New Roman" w:cs="Times New Roman" w:eastAsia="Times New Roman" w:hAnsi="Times New Roman"/>
                <w:sz w:val="24"/>
                <w:szCs w:val="24"/>
                <w:b w:val="1"/>
                <w:bCs w:val="1"/>
                <w:color w:val="auto"/>
                <w:vertAlign w:val="subscript"/>
              </w:rPr>
              <w:t>to PEO Alan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Actually Paid to</w:t>
            </w:r>
          </w:p>
        </w:tc>
      </w:tr>
      <w:tr>
        <w:trPr>
          <w:trHeight w:val="213"/>
        </w:trPr>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for PEO Alan</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 Auerbach</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Table Total for</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non-PEO NEOs</w:t>
            </w:r>
          </w:p>
        </w:tc>
      </w:tr>
      <w:tr>
        <w:trPr>
          <w:trHeight w:val="227"/>
        </w:trPr>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600" w:type="dxa"/>
            <w:vAlign w:val="bottom"/>
          </w:tcPr>
          <w:p>
            <w:pPr>
              <w:jc w:val="center"/>
              <w:spacing w:after="0" w:line="227" w:lineRule="exact"/>
              <w:rPr>
                <w:sz w:val="20"/>
                <w:szCs w:val="20"/>
                <w:color w:val="auto"/>
              </w:rPr>
            </w:pPr>
            <w:r>
              <w:rPr>
                <w:rFonts w:ascii="Times New Roman" w:cs="Times New Roman" w:eastAsia="Times New Roman" w:hAnsi="Times New Roman"/>
                <w:sz w:val="16"/>
                <w:szCs w:val="16"/>
                <w:b w:val="1"/>
                <w:bCs w:val="1"/>
                <w:color w:val="auto"/>
              </w:rPr>
              <w:t xml:space="preserve">H. Auerbach </w:t>
            </w:r>
            <w:r>
              <w:rPr>
                <w:rFonts w:ascii="Times New Roman" w:cs="Times New Roman" w:eastAsia="Times New Roman" w:hAnsi="Times New Roman"/>
                <w:sz w:val="26"/>
                <w:szCs w:val="26"/>
                <w:b w:val="1"/>
                <w:bCs w:val="1"/>
                <w:color w:val="auto"/>
                <w:vertAlign w:val="superscript"/>
              </w:rPr>
              <w:t>(1)</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(2)</w:t>
            </w:r>
          </w:p>
        </w:tc>
        <w:tc>
          <w:tcPr>
            <w:tcW w:w="1480" w:type="dxa"/>
            <w:vAlign w:val="bottom"/>
          </w:tcPr>
          <w:p>
            <w:pPr>
              <w:jc w:val="center"/>
              <w:spacing w:after="0" w:line="227" w:lineRule="exact"/>
              <w:rPr>
                <w:sz w:val="20"/>
                <w:szCs w:val="20"/>
                <w:color w:val="auto"/>
              </w:rPr>
            </w:pPr>
            <w:r>
              <w:rPr>
                <w:rFonts w:ascii="Times New Roman" w:cs="Times New Roman" w:eastAsia="Times New Roman" w:hAnsi="Times New Roman"/>
                <w:sz w:val="16"/>
                <w:szCs w:val="16"/>
                <w:b w:val="1"/>
                <w:bCs w:val="1"/>
                <w:color w:val="auto"/>
              </w:rPr>
              <w:t xml:space="preserve">non-PEO NEOs </w:t>
            </w:r>
            <w:r>
              <w:rPr>
                <w:rFonts w:ascii="Times New Roman" w:cs="Times New Roman" w:eastAsia="Times New Roman" w:hAnsi="Times New Roman"/>
                <w:sz w:val="26"/>
                <w:szCs w:val="26"/>
                <w:b w:val="1"/>
                <w:bCs w:val="1"/>
                <w:color w:val="auto"/>
                <w:vertAlign w:val="superscript"/>
              </w:rPr>
              <w:t>(3)</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(4)</w:t>
            </w:r>
          </w:p>
        </w:tc>
      </w:tr>
    </w:tbl>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0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Peer Group</w:t>
            </w:r>
          </w:p>
        </w:tc>
        <w:tc>
          <w:tcPr>
            <w:tcW w:w="2780" w:type="dxa"/>
            <w:vAlign w:val="bottom"/>
          </w:tcPr>
          <w:p>
            <w:pPr>
              <w:spacing w:after="0"/>
              <w:rPr>
                <w:sz w:val="18"/>
                <w:szCs w:val="18"/>
                <w:color w:val="auto"/>
              </w:rPr>
            </w:pPr>
          </w:p>
        </w:tc>
      </w:tr>
      <w:tr>
        <w:trPr>
          <w:trHeight w:val="213"/>
        </w:trPr>
        <w:tc>
          <w:tcPr>
            <w:tcW w:w="102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PBYI Total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780" w:type="dxa"/>
            <w:vAlign w:val="bottom"/>
          </w:tcPr>
          <w:p>
            <w:pPr>
              <w:jc w:val="center"/>
              <w:ind w:left="1271"/>
              <w:spacing w:after="0"/>
              <w:rPr>
                <w:sz w:val="20"/>
                <w:szCs w:val="20"/>
                <w:color w:val="auto"/>
              </w:rPr>
            </w:pPr>
            <w:r>
              <w:rPr>
                <w:rFonts w:ascii="Times New Roman" w:cs="Times New Roman" w:eastAsia="Times New Roman" w:hAnsi="Times New Roman"/>
                <w:sz w:val="18"/>
                <w:szCs w:val="18"/>
                <w:b w:val="1"/>
                <w:bCs w:val="1"/>
                <w:color w:val="auto"/>
                <w:w w:val="98"/>
              </w:rPr>
              <w:t>Company-Selected</w:t>
            </w:r>
          </w:p>
        </w:tc>
      </w:tr>
      <w:tr>
        <w:trPr>
          <w:trHeight w:val="213"/>
        </w:trPr>
        <w:tc>
          <w:tcPr>
            <w:tcW w:w="102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6"/>
              </w:rPr>
              <w:t>Shareholder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Shareholder</w:t>
            </w:r>
          </w:p>
        </w:tc>
        <w:tc>
          <w:tcPr>
            <w:tcW w:w="2780" w:type="dxa"/>
            <w:vAlign w:val="bottom"/>
          </w:tcPr>
          <w:p>
            <w:pPr>
              <w:jc w:val="center"/>
              <w:ind w:left="1271"/>
              <w:spacing w:after="0"/>
              <w:rPr>
                <w:sz w:val="20"/>
                <w:szCs w:val="20"/>
                <w:color w:val="auto"/>
              </w:rPr>
            </w:pPr>
            <w:r>
              <w:rPr>
                <w:rFonts w:ascii="Times New Roman" w:cs="Times New Roman" w:eastAsia="Times New Roman" w:hAnsi="Times New Roman"/>
                <w:sz w:val="18"/>
                <w:szCs w:val="18"/>
                <w:b w:val="1"/>
                <w:bCs w:val="1"/>
                <w:color w:val="auto"/>
                <w:w w:val="98"/>
              </w:rPr>
              <w:t>Measure (Product</w:t>
            </w:r>
          </w:p>
        </w:tc>
      </w:tr>
      <w:tr>
        <w:trPr>
          <w:trHeight w:val="236"/>
        </w:trPr>
        <w:tc>
          <w:tcPr>
            <w:tcW w:w="102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Return</w:t>
            </w:r>
          </w:p>
        </w:tc>
        <w:tc>
          <w:tcPr>
            <w:tcW w:w="1120" w:type="dxa"/>
            <w:vAlign w:val="bottom"/>
          </w:tcPr>
          <w:p>
            <w:pPr>
              <w:jc w:val="center"/>
              <w:spacing w:after="0" w:line="236" w:lineRule="exact"/>
              <w:rPr>
                <w:sz w:val="20"/>
                <w:szCs w:val="20"/>
                <w:color w:val="auto"/>
              </w:rPr>
            </w:pPr>
            <w:r>
              <w:rPr>
                <w:rFonts w:ascii="Times New Roman" w:cs="Times New Roman" w:eastAsia="Times New Roman" w:hAnsi="Times New Roman"/>
                <w:sz w:val="17"/>
                <w:szCs w:val="17"/>
                <w:b w:val="1"/>
                <w:bCs w:val="1"/>
                <w:color w:val="auto"/>
                <w:w w:val="98"/>
              </w:rPr>
              <w:t xml:space="preserve">Return </w:t>
            </w:r>
            <w:r>
              <w:rPr>
                <w:rFonts w:ascii="Times New Roman" w:cs="Times New Roman" w:eastAsia="Times New Roman" w:hAnsi="Times New Roman"/>
                <w:sz w:val="27"/>
                <w:szCs w:val="27"/>
                <w:b w:val="1"/>
                <w:bCs w:val="1"/>
                <w:color w:val="auto"/>
                <w:w w:val="98"/>
                <w:vertAlign w:val="superscript"/>
              </w:rPr>
              <w:t>(6)</w:t>
            </w:r>
          </w:p>
        </w:tc>
        <w:tc>
          <w:tcPr>
            <w:tcW w:w="2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  Revenue, net) (7)</w:t>
            </w:r>
          </w:p>
        </w:tc>
      </w:tr>
    </w:tbl>
    <w:p>
      <w:pPr>
        <w:spacing w:after="0" w:line="1" w:lineRule="exact"/>
        <w:rPr>
          <w:sz w:val="20"/>
          <w:szCs w:val="20"/>
          <w:color w:val="auto"/>
        </w:rPr>
      </w:pPr>
    </w:p>
    <w:p>
      <w:pPr>
        <w:sectPr>
          <w:pgSz w:w="11900" w:h="16838" w:orient="portrait"/>
          <w:cols w:equalWidth="0" w:num="2">
            <w:col w:w="6140" w:space="160"/>
            <w:col w:w="4940"/>
          </w:cols>
          <w:pgMar w:left="320" w:top="121" w:right="339" w:bottom="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$3,062,337</w:t>
            </w:r>
          </w:p>
        </w:tc>
        <w:tc>
          <w:tcPr>
            <w:tcW w:w="13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$4,428,395</w:t>
            </w:r>
          </w:p>
        </w:tc>
        <w:tc>
          <w:tcPr>
            <w:tcW w:w="12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$1,259,594</w:t>
            </w:r>
          </w:p>
        </w:tc>
        <w:tc>
          <w:tcPr>
            <w:tcW w:w="14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$1,404,367</w:t>
            </w:r>
          </w:p>
        </w:tc>
        <w:tc>
          <w:tcPr>
            <w:tcW w:w="980" w:type="dxa"/>
            <w:vAlign w:val="bottom"/>
            <w:tcBorders>
              <w:top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$58</w:t>
            </w:r>
          </w:p>
        </w:tc>
        <w:tc>
          <w:tcPr>
            <w:tcW w:w="11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$125</w:t>
            </w:r>
          </w:p>
        </w:tc>
        <w:tc>
          <w:tcPr>
            <w:tcW w:w="15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$31,111,000</w:t>
            </w:r>
          </w:p>
        </w:tc>
        <w:tc>
          <w:tcPr>
            <w:tcW w:w="1620" w:type="dxa"/>
            <w:vAlign w:val="bottom"/>
            <w:tcBorders>
              <w:top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$204,074,000</w:t>
            </w:r>
          </w:p>
        </w:tc>
      </w:tr>
      <w:tr>
        <w:trPr>
          <w:trHeight w:val="213"/>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$3,969,931</w:t>
            </w:r>
          </w:p>
        </w:tc>
        <w:tc>
          <w:tcPr>
            <w:tcW w:w="1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$2,549,176</w:t>
            </w: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$1,297,384</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$846,583</w:t>
            </w: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$30</w:t>
            </w:r>
          </w:p>
        </w:tc>
        <w:tc>
          <w:tcPr>
            <w:tcW w:w="1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$93</w:t>
            </w:r>
          </w:p>
        </w:tc>
        <w:tc>
          <w:tcPr>
            <w:tcW w:w="1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$30,278,000</w:t>
            </w:r>
          </w:p>
        </w:tc>
        <w:tc>
          <w:tcPr>
            <w:tcW w:w="162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$195,186,000</w:t>
            </w:r>
          </w:p>
        </w:tc>
      </w:tr>
      <w:tr>
        <w:trPr>
          <w:trHeight w:val="213"/>
        </w:trPr>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$2,944,748</w:t>
            </w:r>
          </w:p>
        </w:tc>
        <w:tc>
          <w:tcPr>
            <w:tcW w:w="1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$2,802,956</w:t>
            </w:r>
          </w:p>
        </w:tc>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$1,216,273</w:t>
            </w:r>
          </w:p>
        </w:tc>
        <w:tc>
          <w:tcPr>
            <w:tcW w:w="1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$1,176,749</w:t>
            </w:r>
          </w:p>
        </w:tc>
        <w:tc>
          <w:tcPr>
            <w:tcW w:w="98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$42</w:t>
            </w:r>
          </w:p>
        </w:tc>
        <w:tc>
          <w:tcPr>
            <w:tcW w:w="1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$94</w:t>
            </w:r>
          </w:p>
        </w:tc>
        <w:tc>
          <w:tcPr>
            <w:tcW w:w="1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$21,591,000</w:t>
            </w:r>
          </w:p>
        </w:tc>
        <w:tc>
          <w:tcPr>
            <w:tcW w:w="162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$203,107,000</w:t>
            </w:r>
          </w:p>
        </w:tc>
      </w:tr>
      <w:tr>
        <w:trPr>
          <w:trHeight w:val="213"/>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$2,532,761</w:t>
            </w:r>
          </w:p>
        </w:tc>
        <w:tc>
          <w:tcPr>
            <w:tcW w:w="1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$3,249,847</w:t>
            </w: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$982,214</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$1,174,336</w:t>
            </w: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$41</w:t>
            </w:r>
          </w:p>
        </w:tc>
        <w:tc>
          <w:tcPr>
            <w:tcW w:w="1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$90</w:t>
            </w:r>
          </w:p>
        </w:tc>
        <w:tc>
          <w:tcPr>
            <w:tcW w:w="1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$2,000</w:t>
            </w:r>
          </w:p>
        </w:tc>
        <w:tc>
          <w:tcPr>
            <w:tcW w:w="162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$200,023,000</w:t>
            </w:r>
          </w:p>
        </w:tc>
      </w:tr>
      <w:tr>
        <w:trPr>
          <w:trHeight w:val="213"/>
        </w:trPr>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$18,453,610</w:t>
            </w:r>
          </w:p>
        </w:tc>
        <w:tc>
          <w:tcPr>
            <w:tcW w:w="1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$14,666,241</w:t>
            </w:r>
          </w:p>
        </w:tc>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$1,478,175</w:t>
            </w:r>
          </w:p>
        </w:tc>
        <w:tc>
          <w:tcPr>
            <w:tcW w:w="1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$462,002</w:t>
            </w:r>
          </w:p>
        </w:tc>
        <w:tc>
          <w:tcPr>
            <w:tcW w:w="98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$30</w:t>
            </w:r>
          </w:p>
        </w:tc>
        <w:tc>
          <w:tcPr>
            <w:tcW w:w="1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$100</w:t>
            </w:r>
          </w:p>
        </w:tc>
        <w:tc>
          <w:tcPr>
            <w:tcW w:w="1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($29,126,000)</w:t>
            </w:r>
          </w:p>
        </w:tc>
        <w:tc>
          <w:tcPr>
            <w:tcW w:w="162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$189,064,000</w:t>
            </w:r>
          </w:p>
        </w:tc>
      </w:tr>
    </w:tbl>
    <w:p>
      <w:pPr>
        <w:spacing w:after="0" w:line="195" w:lineRule="exact"/>
        <w:rPr>
          <w:sz w:val="20"/>
          <w:szCs w:val="20"/>
          <w:color w:val="auto"/>
        </w:rPr>
      </w:pPr>
    </w:p>
    <w:p>
      <w:pPr>
        <w:ind w:left="480" w:right="60" w:hanging="473"/>
        <w:spacing w:after="0" w:line="254" w:lineRule="auto"/>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represent the amount of total compensation reported for Alan H. Auerbach (our “PEO”) for each covered fiscal year in the “Total” column of the Summary Compensation Table for each applicable year. Please refer to “Executive Compensation – Executive Compensation Tables – 2025 Summary Compensation Table.”</w:t>
      </w:r>
    </w:p>
    <w:p>
      <w:pPr>
        <w:spacing w:after="0" w:line="2" w:lineRule="exact"/>
        <w:rPr>
          <w:rFonts w:ascii="Times New Roman" w:cs="Times New Roman" w:eastAsia="Times New Roman" w:hAnsi="Times New Roman"/>
          <w:sz w:val="18"/>
          <w:szCs w:val="18"/>
          <w:color w:val="auto"/>
        </w:rPr>
      </w:pPr>
    </w:p>
    <w:p>
      <w:pPr>
        <w:ind w:left="480" w:right="160" w:hanging="473"/>
        <w:spacing w:after="0" w:line="249" w:lineRule="auto"/>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CAP of Alan H. Auerbach, as computed in accordance with Item 402(v) of Regulation S-K for each covered fiscal year. The dollar amounts do not reflect the actual amount of compensation earned or received by or paid to Alan H. Auerbach during the applicable fiscal year. No adjustment is made for dividends (if any were paid) as dividends are factored into the fair value of the award. In accordance with the requirements of Item 402(v) of Regulation S-K, the below adjustments were made to Alan H. Auerbach’s Summary Compensation Table Total Compensation for the 2025 fiscal year to determine the CAP for him for 2025.</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 of</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 at</w:t>
            </w:r>
          </w:p>
        </w:tc>
        <w:tc>
          <w:tcPr>
            <w:tcW w:w="1140" w:type="dxa"/>
            <w:vAlign w:val="bottom"/>
          </w:tcPr>
          <w:p>
            <w:pPr>
              <w:spacing w:after="0"/>
              <w:rPr>
                <w:sz w:val="18"/>
                <w:szCs w:val="18"/>
                <w:color w:val="auto"/>
              </w:rPr>
            </w:pPr>
          </w:p>
        </w:tc>
      </w:tr>
      <w:tr>
        <w:trPr>
          <w:trHeight w:val="213"/>
        </w:trPr>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Value of</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Value of</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Start of Fiscal</w:t>
            </w:r>
          </w:p>
        </w:tc>
        <w:tc>
          <w:tcPr>
            <w:tcW w:w="1140" w:type="dxa"/>
            <w:vAlign w:val="bottom"/>
          </w:tcPr>
          <w:p>
            <w:pPr>
              <w:spacing w:after="0"/>
              <w:rPr>
                <w:sz w:val="18"/>
                <w:szCs w:val="18"/>
                <w:color w:val="auto"/>
              </w:rPr>
            </w:pPr>
          </w:p>
        </w:tc>
      </w:tr>
      <w:tr>
        <w:trPr>
          <w:trHeight w:val="213"/>
        </w:trPr>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Unvested</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Year of</w:t>
            </w:r>
          </w:p>
        </w:tc>
        <w:tc>
          <w:tcPr>
            <w:tcW w:w="1140" w:type="dxa"/>
            <w:vAlign w:val="bottom"/>
          </w:tcPr>
          <w:p>
            <w:pPr>
              <w:spacing w:after="0"/>
              <w:rPr>
                <w:sz w:val="18"/>
                <w:szCs w:val="18"/>
                <w:color w:val="auto"/>
              </w:rPr>
            </w:pPr>
          </w:p>
        </w:tc>
      </w:tr>
      <w:tr>
        <w:trPr>
          <w:trHeight w:val="213"/>
        </w:trPr>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Granted and</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Awards That</w:t>
            </w:r>
          </w:p>
        </w:tc>
        <w:tc>
          <w:tcPr>
            <w:tcW w:w="1140" w:type="dxa"/>
            <w:vAlign w:val="bottom"/>
          </w:tcPr>
          <w:p>
            <w:pPr>
              <w:spacing w:after="0"/>
              <w:rPr>
                <w:sz w:val="18"/>
                <w:szCs w:val="18"/>
                <w:color w:val="auto"/>
              </w:rPr>
            </w:pPr>
          </w:p>
        </w:tc>
      </w:tr>
      <w:tr>
        <w:trPr>
          <w:trHeight w:val="213"/>
        </w:trPr>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Year End</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Granted in</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Granted in</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Vested in</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7"/>
              </w:rPr>
              <w:t>Failed to Meet</w:t>
            </w:r>
          </w:p>
        </w:tc>
        <w:tc>
          <w:tcPr>
            <w:tcW w:w="1140" w:type="dxa"/>
            <w:vAlign w:val="bottom"/>
          </w:tcPr>
          <w:p>
            <w:pPr>
              <w:spacing w:after="0"/>
              <w:rPr>
                <w:sz w:val="18"/>
                <w:szCs w:val="18"/>
                <w:color w:val="auto"/>
              </w:rPr>
            </w:pPr>
          </w:p>
        </w:tc>
      </w:tr>
      <w:tr>
        <w:trPr>
          <w:trHeight w:val="213"/>
        </w:trPr>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Value of New</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Value of New</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Prior Fiscal</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Prior Fiscal</w:t>
            </w:r>
          </w:p>
        </w:tc>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Current FiscalVesting</w:t>
            </w:r>
          </w:p>
        </w:tc>
        <w:tc>
          <w:tcPr>
            <w:tcW w:w="1140" w:type="dxa"/>
            <w:vAlign w:val="bottom"/>
          </w:tcPr>
          <w:p>
            <w:pPr>
              <w:spacing w:after="0"/>
              <w:rPr>
                <w:sz w:val="18"/>
                <w:szCs w:val="18"/>
                <w:color w:val="auto"/>
              </w:rPr>
            </w:pPr>
          </w:p>
        </w:tc>
      </w:tr>
      <w:tr>
        <w:trPr>
          <w:trHeight w:val="236"/>
        </w:trPr>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Fiscal Year</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Executives</w:t>
            </w:r>
          </w:p>
        </w:tc>
        <w:tc>
          <w:tcPr>
            <w:tcW w:w="1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SCT(a)</w:t>
            </w:r>
          </w:p>
        </w:tc>
        <w:tc>
          <w:tcPr>
            <w:tcW w:w="1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Awards(b)</w:t>
            </w:r>
          </w:p>
        </w:tc>
        <w:tc>
          <w:tcPr>
            <w:tcW w:w="1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Awards(c)</w:t>
            </w:r>
          </w:p>
        </w:tc>
        <w:tc>
          <w:tcPr>
            <w:tcW w:w="1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Years(d)</w:t>
            </w:r>
          </w:p>
        </w:tc>
        <w:tc>
          <w:tcPr>
            <w:tcW w:w="1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Years(e)</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Year(f)</w:t>
            </w:r>
          </w:p>
        </w:tc>
        <w:tc>
          <w:tcPr>
            <w:tcW w:w="1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Conditions(g)</w:t>
            </w:r>
          </w:p>
        </w:tc>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CAP(h)</w:t>
            </w:r>
          </w:p>
        </w:tc>
      </w:tr>
      <w:tr>
        <w:trPr>
          <w:trHeight w:val="188"/>
        </w:trPr>
        <w:tc>
          <w:tcPr>
            <w:tcW w:w="1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PEO: Alan H.</w:t>
            </w:r>
          </w:p>
        </w:tc>
        <w:tc>
          <w:tcPr>
            <w:tcW w:w="10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32"/>
        </w:trPr>
        <w:tc>
          <w:tcPr>
            <w:tcW w:w="11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Auerbach</w:t>
            </w:r>
          </w:p>
        </w:tc>
        <w:tc>
          <w:tcPr>
            <w:tcW w:w="1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$3,062,337</w:t>
            </w:r>
          </w:p>
        </w:tc>
        <w:tc>
          <w:tcPr>
            <w:tcW w:w="1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($1,087,062)</w:t>
            </w:r>
          </w:p>
        </w:tc>
        <w:tc>
          <w:tcPr>
            <w:tcW w:w="1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$1,830,211</w:t>
            </w:r>
          </w:p>
        </w:tc>
        <w:tc>
          <w:tcPr>
            <w:tcW w:w="1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$237,656</w:t>
            </w: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$32,917</w:t>
            </w:r>
          </w:p>
        </w:tc>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$352,335</w:t>
            </w:r>
          </w:p>
        </w:tc>
        <w:tc>
          <w:tcPr>
            <w:tcW w:w="1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$4,428,395</w:t>
            </w:r>
          </w:p>
        </w:tc>
      </w:tr>
      <w:tr>
        <w:trPr>
          <w:trHeight w:val="195"/>
        </w:trPr>
        <w:tc>
          <w:tcPr>
            <w:tcW w:w="1100" w:type="dxa"/>
            <w:vAlign w:val="bottom"/>
          </w:tcPr>
          <w:p>
            <w:pPr>
              <w:spacing w:after="0"/>
              <w:rPr>
                <w:sz w:val="16"/>
                <w:szCs w:val="16"/>
                <w:color w:val="auto"/>
              </w:rPr>
            </w:pPr>
          </w:p>
        </w:tc>
        <w:tc>
          <w:tcPr>
            <w:tcW w:w="11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non-PEO</w:t>
            </w:r>
          </w:p>
        </w:tc>
        <w:tc>
          <w:tcPr>
            <w:tcW w:w="1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2"/>
        </w:trPr>
        <w:tc>
          <w:tcPr>
            <w:tcW w:w="1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NEOs</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$1,259,594</w:t>
            </w: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($287,500)</w:t>
            </w: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$347,659</w:t>
            </w:r>
          </w:p>
        </w:tc>
        <w:tc>
          <w:tcPr>
            <w:tcW w:w="1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$38,394</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$5,320</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$64,863</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($23,963)</w:t>
            </w: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$1,404,367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dollar amounts reported in the Summary Compensation Table for the applicable year.</w:t>
      </w:r>
    </w:p>
    <w:p>
      <w:pPr>
        <w:spacing w:after="0" w:line="25" w:lineRule="exact"/>
        <w:rPr>
          <w:sz w:val="20"/>
          <w:szCs w:val="20"/>
          <w:color w:val="auto"/>
        </w:rPr>
      </w:pPr>
    </w:p>
    <w:p>
      <w:pPr>
        <w:ind w:left="240" w:right="580" w:hanging="226"/>
        <w:spacing w:after="0" w:line="247" w:lineRule="auto"/>
        <w:rPr>
          <w:sz w:val="20"/>
          <w:szCs w:val="20"/>
          <w:color w:val="auto"/>
        </w:rPr>
      </w:pPr>
      <w:r>
        <w:rPr>
          <w:rFonts w:ascii="Times New Roman" w:cs="Times New Roman" w:eastAsia="Times New Roman" w:hAnsi="Times New Roman"/>
          <w:sz w:val="18"/>
          <w:szCs w:val="18"/>
          <w:color w:val="auto"/>
        </w:rPr>
        <w:t>(b)The grant date fair value of equity awards represents the total of the amounts reported in the “Stock Awards” and “Option Awards” columns of the Summary Compensation Table for the applicable year.</w:t>
      </w:r>
    </w:p>
    <w:p>
      <w:pPr>
        <w:spacing w:after="0" w:line="1" w:lineRule="exact"/>
        <w:rPr>
          <w:sz w:val="20"/>
          <w:szCs w:val="20"/>
          <w:color w:val="auto"/>
        </w:rPr>
      </w:pPr>
    </w:p>
    <w:p>
      <w:pPr>
        <w:ind w:right="100" w:firstLine="7"/>
        <w:spacing w:after="0" w:line="262" w:lineRule="auto"/>
        <w:tabs>
          <w:tab w:leader="none" w:pos="227"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year-end fair value of any equity awards granted in the applicable year that are outstanding and unvested as of the end of the applicable year; (d)The amount of change as of the end of the applicable year (from the end of the prior fiscal year) in fair value of any awards granted in prior years that are</w:t>
      </w:r>
    </w:p>
    <w:p>
      <w:pPr>
        <w:ind w:left="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outstanding and unvested as of the end of the applicable year;</w:t>
      </w:r>
    </w:p>
    <w:p>
      <w:pPr>
        <w:spacing w:after="0" w:line="6" w:lineRule="exact"/>
        <w:rPr>
          <w:rFonts w:ascii="Times New Roman" w:cs="Times New Roman" w:eastAsia="Times New Roman" w:hAnsi="Times New Roman"/>
          <w:sz w:val="17"/>
          <w:szCs w:val="17"/>
          <w:color w:val="auto"/>
        </w:rPr>
      </w:pPr>
    </w:p>
    <w:p>
      <w:pPr>
        <w:ind w:left="240" w:hanging="233"/>
        <w:spacing w:after="0"/>
        <w:tabs>
          <w:tab w:leader="none" w:pos="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awards that vest in the applicable year, the change in the fair value as of the vesting date from the beginning of the applicable year;</w:t>
      </w:r>
    </w:p>
    <w:p>
      <w:pPr>
        <w:spacing w:after="0" w:line="6" w:lineRule="exact"/>
        <w:rPr>
          <w:rFonts w:ascii="Times New Roman" w:cs="Times New Roman" w:eastAsia="Times New Roman" w:hAnsi="Times New Roman"/>
          <w:sz w:val="18"/>
          <w:szCs w:val="18"/>
          <w:color w:val="auto"/>
        </w:rPr>
      </w:pPr>
    </w:p>
    <w:p>
      <w:pPr>
        <w:ind w:right="2280" w:firstLine="7"/>
        <w:spacing w:after="0" w:line="262" w:lineRule="auto"/>
        <w:tabs>
          <w:tab w:leader="none" w:pos="227"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awards that failed to meet vesting conditions in the applicable year, the fair value from the end of prior fiscal year; and (g)For awards that failed to meet vesting conditions in the applicable year, the fair value from the end of prior fiscal year.</w:t>
      </w:r>
    </w:p>
    <w:p>
      <w:pPr>
        <w:ind w:left="240" w:right="340" w:hanging="227"/>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(h)The CAP does not necessarily represent cash and/or equity value transferred to the applicable NEO without restriction, but rather is a value calculated under applicable SEC rules.</w:t>
      </w:r>
    </w:p>
    <w:p>
      <w:pPr>
        <w:sectPr>
          <w:pgSz w:w="11900" w:h="16838" w:orient="portrait"/>
          <w:cols w:equalWidth="0" w:num="1">
            <w:col w:w="11240"/>
          </w:cols>
          <w:pgMar w:left="320" w:top="121" w:right="339" w:bottom="0" w:gutter="0" w:footer="0" w:header="0"/>
          <w:type w:val="continuous"/>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83820</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ind w:right="80" w:firstLine="427"/>
        <w:spacing w:after="0" w:line="257" w:lineRule="auto"/>
        <w:rPr>
          <w:sz w:val="20"/>
          <w:szCs w:val="20"/>
          <w:color w:val="auto"/>
        </w:rPr>
      </w:pPr>
      <w:r>
        <w:rPr>
          <w:rFonts w:ascii="Times New Roman" w:cs="Times New Roman" w:eastAsia="Times New Roman" w:hAnsi="Times New Roman"/>
          <w:sz w:val="18"/>
          <w:szCs w:val="18"/>
          <w:u w:val="single" w:color="auto"/>
          <w:color w:val="auto"/>
        </w:rPr>
        <w:t>Equity Award Valuations – Alan H. Auerbach</w:t>
      </w:r>
      <w:r>
        <w:rPr>
          <w:rFonts w:ascii="Times New Roman" w:cs="Times New Roman" w:eastAsia="Times New Roman" w:hAnsi="Times New Roman"/>
          <w:sz w:val="18"/>
          <w:szCs w:val="18"/>
          <w:color w:val="auto"/>
          <w:highlight w:val="white"/>
        </w:rPr>
        <w:t>: Equity award fair values are calculated in accordance with FASB ASC Topic 718 and use a similar</w:t>
      </w:r>
      <w:r>
        <w:rPr>
          <w:rFonts w:ascii="Times New Roman" w:cs="Times New Roman" w:eastAsia="Times New Roman" w:hAnsi="Times New Roman"/>
          <w:sz w:val="18"/>
          <w:szCs w:val="18"/>
          <w:color w:val="auto"/>
        </w:rPr>
        <w:t xml:space="preserve"> process to that used to determine the grant date fair value of equity awards. The closing stock price as of December 31, 2024 was $3.05 and at December 31, 2025 was $5.95. The material Black-Scholes assumptions for the PEO varied as follows: expected term between 4.51 and 5.33 years, volatility between 74.53% and 81.01%, risk-free rate between 3.65% and 4.34%, and expected dividend yield of 0.00%.</w:t>
      </w:r>
    </w:p>
    <w:p>
      <w:pPr>
        <w:spacing w:after="0" w:line="181" w:lineRule="exact"/>
        <w:rPr>
          <w:sz w:val="20"/>
          <w:szCs w:val="20"/>
          <w:color w:val="auto"/>
        </w:rPr>
      </w:pPr>
    </w:p>
    <w:p>
      <w:pPr>
        <w:ind w:left="480" w:hanging="473"/>
        <w:spacing w:after="0" w:line="257" w:lineRule="auto"/>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average amount of CAP for our Named Executive Officers as a group (excluding Alan H. Auerbach, who has served as our PEO since our inception) for each covered fiscal year in the “Total” column of the Summary Compensation Table for each applicable year. The names of these Named Executive Officers included for purposes of calculating the average amounts of total compensation in each covered fiscal year are as follows:</w:t>
      </w:r>
    </w:p>
    <w:p>
      <w:pPr>
        <w:spacing w:after="0" w:line="234"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M. Nougues, J. Ludwig and D. Hunt;</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2024, M. Nougues, A. Wong, J. Ludwig and D. Hunt;</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2023, M. Nougues, A. Wong, J. Ludwig and D. Hunt;</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2022, M. Nougues, A. Wong, J. Ludwig and D. Hunt; and</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2021, M. Nougues, A. Wong,, J. Ludwig and D. Hunt.</w:t>
      </w:r>
    </w:p>
    <w:p>
      <w:pPr>
        <w:spacing w:after="0" w:line="273" w:lineRule="exact"/>
        <w:rPr>
          <w:rFonts w:ascii="Times New Roman" w:cs="Times New Roman" w:eastAsia="Times New Roman" w:hAnsi="Times New Roman"/>
          <w:sz w:val="18"/>
          <w:szCs w:val="18"/>
          <w:color w:val="auto"/>
        </w:rPr>
      </w:pPr>
    </w:p>
    <w:p>
      <w:pPr>
        <w:ind w:left="480" w:right="40" w:hanging="473"/>
        <w:spacing w:after="0" w:line="253" w:lineRule="auto"/>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average amount of CAP to our Named Executive Officers disclosed in footnote (3), as computed in accordance with Item 402(v) of Regulation S-K for each covered fiscal year. The dollar amounts do not reflect the actual average amount of compensation earned or received by or paid to these Named Executive Officer as a group during the applicable fiscal year. No adjustment is made for dividends (if any were paid) as dividends are factored into the fair value of the award. In accordance with the requirements of Item 402(v) of Regulation S-K, the below adjustments were made to the average Summary Compensation Table Total compensation for 2025 fiscal year to determine the average CAP for 2025.</w:t>
      </w:r>
    </w:p>
    <w:p>
      <w:pPr>
        <w:spacing w:after="0" w:line="185" w:lineRule="exact"/>
        <w:rPr>
          <w:sz w:val="20"/>
          <w:szCs w:val="20"/>
          <w:color w:val="auto"/>
        </w:rPr>
      </w:pPr>
    </w:p>
    <w:p>
      <w:pPr>
        <w:ind w:right="40" w:firstLine="427"/>
        <w:spacing w:after="0" w:line="257" w:lineRule="auto"/>
        <w:rPr>
          <w:sz w:val="20"/>
          <w:szCs w:val="20"/>
          <w:color w:val="auto"/>
        </w:rPr>
      </w:pPr>
      <w:r>
        <w:rPr>
          <w:rFonts w:ascii="Times New Roman" w:cs="Times New Roman" w:eastAsia="Times New Roman" w:hAnsi="Times New Roman"/>
          <w:sz w:val="18"/>
          <w:szCs w:val="18"/>
          <w:u w:val="single" w:color="auto"/>
          <w:color w:val="auto"/>
        </w:rPr>
        <w:t>Equity Award Valuations – Other Named Executive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Equity award fair values are calculated in accordance with FASB ASC Topic 718 and use</w:t>
      </w:r>
      <w:r>
        <w:rPr>
          <w:rFonts w:ascii="Times New Roman" w:cs="Times New Roman" w:eastAsia="Times New Roman" w:hAnsi="Times New Roman"/>
          <w:sz w:val="18"/>
          <w:szCs w:val="18"/>
          <w:color w:val="auto"/>
        </w:rPr>
        <w:t xml:space="preserve"> a similar process to that used to determine the grant date fair value of equity awards. The closing stock price as of December 31, 2024 was $3.05 and at December 31, 2025 was $5.95. The material Black-Scholes assumptions varied as follows: expected term between 4.51 and 5.33 years, volatility between 74.85% and 80.38%, risk-free rate between 3.65% and 4.34%, and expected dividend yield of 0.00%.</w:t>
      </w:r>
    </w:p>
    <w:p>
      <w:pPr>
        <w:spacing w:after="0" w:line="181" w:lineRule="exact"/>
        <w:rPr>
          <w:sz w:val="20"/>
          <w:szCs w:val="20"/>
          <w:color w:val="auto"/>
        </w:rPr>
      </w:pPr>
    </w:p>
    <w:p>
      <w:pPr>
        <w:ind w:left="360" w:hanging="353"/>
        <w:spacing w:after="0"/>
        <w:tabs>
          <w:tab w:leader="none" w:pos="3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total stockholder return (“TSR”) assumes an initial investment of $100 on December 31, 2020 and reinvestment of dividends.</w:t>
      </w:r>
    </w:p>
    <w:p>
      <w:pPr>
        <w:spacing w:after="0" w:line="219" w:lineRule="exact"/>
        <w:rPr>
          <w:rFonts w:ascii="Times New Roman" w:cs="Times New Roman" w:eastAsia="Times New Roman" w:hAnsi="Times New Roman"/>
          <w:sz w:val="18"/>
          <w:szCs w:val="18"/>
          <w:color w:val="auto"/>
        </w:rPr>
      </w:pPr>
    </w:p>
    <w:p>
      <w:pPr>
        <w:ind w:left="360" w:right="200" w:hanging="353"/>
        <w:spacing w:after="0" w:line="262" w:lineRule="auto"/>
        <w:tabs>
          <w:tab w:leader="none" w:pos="3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peer group TSR, weighted according to the respective companies’ stock market capitalization at the beginning of each period for which a return is indicated. The peer group used for this purpose for all five years presented is the following published industry index: Nasdaq Biotechnology Index.</w:t>
      </w:r>
    </w:p>
    <w:p>
      <w:pPr>
        <w:spacing w:after="0" w:line="176" w:lineRule="exact"/>
        <w:rPr>
          <w:rFonts w:ascii="Times New Roman" w:cs="Times New Roman" w:eastAsia="Times New Roman" w:hAnsi="Times New Roman"/>
          <w:sz w:val="18"/>
          <w:szCs w:val="18"/>
          <w:color w:val="auto"/>
        </w:rPr>
      </w:pPr>
    </w:p>
    <w:p>
      <w:pPr>
        <w:ind w:left="360" w:right="60" w:hanging="353"/>
        <w:spacing w:after="0" w:line="252" w:lineRule="auto"/>
        <w:tabs>
          <w:tab w:leader="none" w:pos="3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 net is reported in our financial statements and determined in accordance with Generally Accepted Accounting Principles (“GAAP”). Gross product revenue is driven by our bottles of NERLINX sold, primarily our domestic units sold, which was our primary financial performance goal (weighted 35%) under our 2025 annual cash incentive program. Product revenue, net is comprised of gross product revenue from bottles of NERLINX, less gross-to-net adjustments for estimates of variable consideration for which reserves are established. Components of variable consideration include trade discounts and allowances, product returns, provider chargebacks and discounts, government rebates, payor rebates, and other incentives, such as voluntary patient assistance, and other allowances that are offered. We believe product revenue, net is the primary financial measure that is most aligned with our most important financial measure tied to compensation for 2025.</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Tabular List of Financial Performance Measures</w:t>
      </w:r>
    </w:p>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most important financial and non-financial performance measures that link CAP to our performance are as follows:</w:t>
      </w:r>
    </w:p>
    <w:p>
      <w:pPr>
        <w:spacing w:after="0" w:line="273" w:lineRule="exact"/>
        <w:rPr>
          <w:sz w:val="20"/>
          <w:szCs w:val="20"/>
          <w:color w:val="auto"/>
        </w:rPr>
      </w:pPr>
    </w:p>
    <w:p>
      <w:pPr>
        <w:ind w:left="460" w:hanging="144"/>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Bottles of NERLYNX sold</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 net (which reflects bottles of NERLYNX sold, less gross-to-net deductions)</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revenue</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management</w:t>
      </w:r>
    </w:p>
    <w:p>
      <w:pPr>
        <w:spacing w:after="0" w:line="113" w:lineRule="exact"/>
        <w:rPr>
          <w:rFonts w:ascii="Times New Roman" w:cs="Times New Roman" w:eastAsia="Times New Roman" w:hAnsi="Times New Roman"/>
          <w:sz w:val="18"/>
          <w:szCs w:val="18"/>
          <w:color w:val="auto"/>
        </w:rPr>
      </w:pPr>
    </w:p>
    <w:p>
      <w:pPr>
        <w:ind w:left="460" w:hanging="144"/>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Alisertib clinical milestones</w:t>
      </w:r>
    </w:p>
    <w:p>
      <w:pPr>
        <w:spacing w:after="0" w:line="273" w:lineRule="exact"/>
        <w:rPr>
          <w:sz w:val="20"/>
          <w:szCs w:val="20"/>
          <w:color w:val="auto"/>
        </w:rPr>
      </w:pPr>
    </w:p>
    <w:p>
      <w:pPr>
        <w:ind w:right="560" w:firstLine="427"/>
        <w:spacing w:after="0" w:line="277" w:lineRule="auto"/>
        <w:rPr>
          <w:sz w:val="20"/>
          <w:szCs w:val="20"/>
          <w:color w:val="auto"/>
        </w:rPr>
      </w:pPr>
      <w:r>
        <w:rPr>
          <w:rFonts w:ascii="Times New Roman" w:cs="Times New Roman" w:eastAsia="Times New Roman" w:hAnsi="Times New Roman"/>
          <w:sz w:val="18"/>
          <w:szCs w:val="18"/>
          <w:color w:val="auto"/>
        </w:rPr>
        <w:t>Additional information about each of these performance measures and the role of our performance in each of these measures in determining our executive compensation are discussed in greater detail in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Information Presented in Pay-Versus-Performance Table</w:t>
      </w:r>
    </w:p>
    <w:p>
      <w:pPr>
        <w:spacing w:after="0" w:line="222" w:lineRule="exact"/>
        <w:rPr>
          <w:sz w:val="20"/>
          <w:szCs w:val="20"/>
          <w:color w:val="auto"/>
        </w:rPr>
      </w:pPr>
    </w:p>
    <w:p>
      <w:pPr>
        <w:ind w:firstLine="427"/>
        <w:spacing w:after="0" w:line="271" w:lineRule="auto"/>
        <w:rPr>
          <w:sz w:val="20"/>
          <w:szCs w:val="20"/>
          <w:color w:val="auto"/>
        </w:rPr>
      </w:pPr>
      <w:r>
        <w:rPr>
          <w:rFonts w:ascii="Times New Roman" w:cs="Times New Roman" w:eastAsia="Times New Roman" w:hAnsi="Times New Roman"/>
          <w:sz w:val="17"/>
          <w:szCs w:val="17"/>
          <w:color w:val="auto"/>
        </w:rPr>
        <w:t>As described in more detail in “Executive Compensation – Compensation Discussion and Analysis,” our executive compensation program reflects a variable “pay-for-performance” philosophy. While over the years we have used different performance measures to align executive compensation with our performance, all of these performance measures are not presented in the Pay-Versus-Performance Table. Moreover, while we generally seek to prioritize long-term performance as our primary incentive for Alan H. Auerbach and our other Named Executive Officers, we do not specifically align our performance measures with CAP (as computed in accordance with Item 402(v) of Regulation S-K) for a particular fiscal year. In accordance with Item 402(v) of Regulation S-K, we are providing the following descriptions of the relationships between the information presented in the Pay-Versus-Performance Table.</w:t>
      </w:r>
    </w:p>
    <w:p>
      <w:pPr>
        <w:sectPr>
          <w:pgSz w:w="11900" w:h="16838" w:orient="portrait"/>
          <w:cols w:equalWidth="0" w:num="1">
            <w:col w:w="11240"/>
          </w:cols>
          <w:pgMar w:left="320" w:top="121" w:right="339" w:bottom="68"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68"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 Compared to Company and Peer Group TSR</w:t>
      </w:r>
    </w:p>
    <w:p>
      <w:pPr>
        <w:spacing w:after="0" w:line="222" w:lineRule="exact"/>
        <w:rPr>
          <w:sz w:val="20"/>
          <w:szCs w:val="20"/>
          <w:color w:val="auto"/>
        </w:rPr>
      </w:pPr>
    </w:p>
    <w:p>
      <w:pPr>
        <w:ind w:firstLine="427"/>
        <w:spacing w:after="0" w:line="262" w:lineRule="auto"/>
        <w:rPr>
          <w:sz w:val="20"/>
          <w:szCs w:val="20"/>
          <w:color w:val="auto"/>
        </w:rPr>
      </w:pPr>
      <w:r>
        <w:rPr>
          <w:rFonts w:ascii="Times New Roman" w:cs="Times New Roman" w:eastAsia="Times New Roman" w:hAnsi="Times New Roman"/>
          <w:sz w:val="18"/>
          <w:szCs w:val="18"/>
          <w:color w:val="auto"/>
        </w:rPr>
        <w:t>The following graph sets forth the relationship between (i) the CAP for Alan H. Auerbach and the average CAP for our other NEOs as a group (except Alan H. Auerbach) and (ii) our TSR and the TSR of our peer group, the NASDAQ Biotechnology Index, over the periods presented in the Pay-Versus-Performance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259080</wp:posOffset>
            </wp:positionV>
            <wp:extent cx="7196455" cy="2982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6455" cy="2982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 Compared to Net Income</w:t>
      </w:r>
    </w:p>
    <w:p>
      <w:pPr>
        <w:spacing w:after="0" w:line="222" w:lineRule="exact"/>
        <w:rPr>
          <w:sz w:val="20"/>
          <w:szCs w:val="20"/>
          <w:color w:val="auto"/>
        </w:rPr>
      </w:pPr>
    </w:p>
    <w:p>
      <w:pPr>
        <w:ind w:firstLine="427"/>
        <w:spacing w:after="0" w:line="277" w:lineRule="auto"/>
        <w:rPr>
          <w:sz w:val="20"/>
          <w:szCs w:val="20"/>
          <w:color w:val="auto"/>
        </w:rPr>
      </w:pPr>
      <w:r>
        <w:rPr>
          <w:rFonts w:ascii="Times New Roman" w:cs="Times New Roman" w:eastAsia="Times New Roman" w:hAnsi="Times New Roman"/>
          <w:sz w:val="18"/>
          <w:szCs w:val="18"/>
          <w:color w:val="auto"/>
        </w:rPr>
        <w:t>The following graph sets forth the relationship between (i) the CAP for Alan H. Auerbach and the average CAP for our other NEOs as a group (except Alan H. Auerbach) and (ii) our Net Income over the periods presented in the Pay-Versus-Performance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250825</wp:posOffset>
            </wp:positionV>
            <wp:extent cx="7196455" cy="3033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6455" cy="303339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 Compared to Product Revenue, net</w:t>
      </w:r>
    </w:p>
    <w:p>
      <w:pPr>
        <w:spacing w:after="0" w:line="222" w:lineRule="exact"/>
        <w:rPr>
          <w:sz w:val="20"/>
          <w:szCs w:val="20"/>
          <w:color w:val="auto"/>
        </w:rPr>
      </w:pPr>
    </w:p>
    <w:p>
      <w:pPr>
        <w:ind w:right="60" w:firstLine="427"/>
        <w:spacing w:after="0" w:line="277" w:lineRule="auto"/>
        <w:rPr>
          <w:sz w:val="20"/>
          <w:szCs w:val="20"/>
          <w:color w:val="auto"/>
        </w:rPr>
      </w:pPr>
      <w:r>
        <w:rPr>
          <w:rFonts w:ascii="Times New Roman" w:cs="Times New Roman" w:eastAsia="Times New Roman" w:hAnsi="Times New Roman"/>
          <w:sz w:val="18"/>
          <w:szCs w:val="18"/>
          <w:color w:val="auto"/>
        </w:rPr>
        <w:t>The following graph sets forth the relationship between (i) the CAP for Alan H. Auerbach and the average CAP for our other NEOs as a group (except Alan H. Auerbach) and (ii) Product Revenue, net over the periods presented in the Pay-Versus-Performance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250190</wp:posOffset>
            </wp:positionV>
            <wp:extent cx="7196455" cy="31686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6455" cy="3168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Pay-Versus-Performance: Conclusions</w:t>
      </w:r>
    </w:p>
    <w:p>
      <w:pPr>
        <w:spacing w:after="0" w:line="222" w:lineRule="exact"/>
        <w:rPr>
          <w:sz w:val="20"/>
          <w:szCs w:val="20"/>
          <w:color w:val="auto"/>
        </w:rPr>
      </w:pPr>
    </w:p>
    <w:p>
      <w:pPr>
        <w:ind w:right="100" w:firstLine="427"/>
        <w:spacing w:after="0" w:line="277" w:lineRule="auto"/>
        <w:rPr>
          <w:sz w:val="20"/>
          <w:szCs w:val="20"/>
          <w:color w:val="auto"/>
        </w:rPr>
      </w:pPr>
      <w:r>
        <w:rPr>
          <w:rFonts w:ascii="Times New Roman" w:cs="Times New Roman" w:eastAsia="Times New Roman" w:hAnsi="Times New Roman"/>
          <w:sz w:val="18"/>
          <w:szCs w:val="18"/>
          <w:color w:val="auto"/>
        </w:rPr>
        <w:t>The Compensation Committee believes in “pay for performance” and has structured our compensation program to reward our executive officers when we are delivering strong results.</w:t>
      </w:r>
    </w:p>
    <w:p>
      <w:pPr>
        <w:spacing w:after="0" w:line="3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Equity Award Timing Policies and Practices</w:t>
      </w:r>
    </w:p>
    <w:p>
      <w:pPr>
        <w:spacing w:after="0" w:line="224" w:lineRule="exact"/>
        <w:rPr>
          <w:sz w:val="20"/>
          <w:szCs w:val="20"/>
          <w:color w:val="auto"/>
        </w:rPr>
      </w:pPr>
    </w:p>
    <w:p>
      <w:pPr>
        <w:ind w:right="80" w:firstLine="427"/>
        <w:spacing w:after="0" w:line="257" w:lineRule="auto"/>
        <w:rPr>
          <w:sz w:val="20"/>
          <w:szCs w:val="20"/>
          <w:color w:val="auto"/>
        </w:rPr>
      </w:pPr>
      <w:r>
        <w:rPr>
          <w:rFonts w:ascii="Times New Roman" w:cs="Times New Roman" w:eastAsia="Times New Roman" w:hAnsi="Times New Roman"/>
          <w:sz w:val="18"/>
          <w:szCs w:val="18"/>
          <w:color w:val="auto"/>
        </w:rPr>
        <w:t>The Compensation Committee’s practice is to not grant equity awards in anticipation of the release of material nonpublic information and we do not time the release of material nonpublic information for the purpose of affecting the value of executive compensation. In the event material nonpublic information becomes known to the Compensation Committee before granting an equity award, the Compensation Committee will consider such information and use its business judgment to determine whether to delay the grant of equity to avoid any appearance of impropriety.</w:t>
      </w:r>
    </w:p>
    <w:p>
      <w:pPr>
        <w:spacing w:after="0" w:line="181" w:lineRule="exact"/>
        <w:rPr>
          <w:sz w:val="20"/>
          <w:szCs w:val="20"/>
          <w:color w:val="auto"/>
        </w:rPr>
      </w:pPr>
    </w:p>
    <w:p>
      <w:pPr>
        <w:ind w:right="120" w:firstLine="427"/>
        <w:spacing w:after="0" w:line="254" w:lineRule="auto"/>
        <w:rPr>
          <w:sz w:val="20"/>
          <w:szCs w:val="20"/>
          <w:color w:val="auto"/>
        </w:rPr>
      </w:pPr>
      <w:r>
        <w:rPr>
          <w:rFonts w:ascii="Times New Roman" w:cs="Times New Roman" w:eastAsia="Times New Roman" w:hAnsi="Times New Roman"/>
          <w:sz w:val="18"/>
          <w:szCs w:val="18"/>
          <w:color w:val="auto"/>
        </w:rPr>
        <w:t>Although we do not have a formal policy with respect to the timing of our equity award grants, the Compensation Committee has historically granted such awards on a predetermined annual schedule on or around early to mid-February each year. During fiscal year 2025, we did not grant equity awards to our named executive officers during the four business days prior to or the one business day following the filing of our periodic reports or the filing or furnishing of a Form 8-K that discloses material nonpublic information. We have not timed the disclosure of material nonpublic information for the purpose of affecting the value of executive compensation for grants to named executive officers in 2025.</w:t>
      </w:r>
    </w:p>
    <w:p>
      <w:pPr>
        <w:spacing w:after="0" w:line="2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224" w:lineRule="exact"/>
        <w:rPr>
          <w:sz w:val="20"/>
          <w:szCs w:val="20"/>
          <w:color w:val="auto"/>
        </w:rPr>
      </w:pPr>
    </w:p>
    <w:p>
      <w:pPr>
        <w:ind w:firstLine="427"/>
        <w:spacing w:after="0" w:line="262" w:lineRule="auto"/>
        <w:rPr>
          <w:sz w:val="20"/>
          <w:szCs w:val="20"/>
          <w:color w:val="auto"/>
        </w:rPr>
      </w:pPr>
      <w:r>
        <w:rPr>
          <w:rFonts w:ascii="Times New Roman" w:cs="Times New Roman" w:eastAsia="Times New Roman" w:hAnsi="Times New Roman"/>
          <w:sz w:val="18"/>
          <w:szCs w:val="18"/>
          <w:color w:val="auto"/>
        </w:rPr>
        <w:t>As part of the 2025 compensation process, our Compensation Committee considers potential risks when reviewing and approving the compensation programs for executives and employees. In 2025, based on this review, our Compensation Committee concluded that our compensation policies and practices do not incentivize excessive risk-taking that could have a material adverse effect on our Company.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4" w:lineRule="exact"/>
        <w:rPr>
          <w:sz w:val="20"/>
          <w:szCs w:val="20"/>
          <w:color w:val="auto"/>
        </w:rPr>
      </w:pPr>
    </w:p>
    <w:p>
      <w:pPr>
        <w:ind w:right="20" w:firstLine="427"/>
        <w:spacing w:after="0" w:line="257" w:lineRule="auto"/>
        <w:rPr>
          <w:sz w:val="20"/>
          <w:szCs w:val="20"/>
          <w:color w:val="auto"/>
        </w:rPr>
      </w:pPr>
      <w:r>
        <w:rPr>
          <w:rFonts w:ascii="Times New Roman" w:cs="Times New Roman" w:eastAsia="Times New Roman" w:hAnsi="Times New Roman"/>
          <w:sz w:val="18"/>
          <w:szCs w:val="18"/>
          <w:color w:val="auto"/>
        </w:rPr>
        <w:t>The Compensation Committee, comprised of Messrs. Moyes, Miller and Stuglik, has reviewed and discussed the Compensation Discussion and Analysis above with our management. Based on the review and discussions, the Compensation Committee recommended to the Board that the Compensation Discussion and Analysis be included in this proxy statement and incorporated by reference into our Annual Report on Form 10-K for the fiscal year ended December 31, 2025.</w:t>
      </w:r>
    </w:p>
    <w:p>
      <w:pPr>
        <w:spacing w:after="0" w:line="17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Compensation Committee of the Board of Directors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Brian Stuglik (Chair)</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Michael P. Miller</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Jay M. Moyes</w:t>
      </w:r>
    </w:p>
    <w:p>
      <w:pPr>
        <w:spacing w:after="0" w:line="19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equity awards outstanding under the Plans as of December 31,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Shares Remaining</w:t>
            </w:r>
          </w:p>
        </w:tc>
        <w:tc>
          <w:tcPr>
            <w:tcW w:w="0" w:type="dxa"/>
            <w:vAlign w:val="bottom"/>
          </w:tcPr>
          <w:p>
            <w:pPr>
              <w:spacing w:after="0"/>
              <w:rPr>
                <w:sz w:val="1"/>
                <w:szCs w:val="1"/>
                <w:color w:val="auto"/>
              </w:rPr>
            </w:pPr>
          </w:p>
        </w:tc>
      </w:tr>
      <w:tr>
        <w:trPr>
          <w:trHeight w:val="213"/>
        </w:trPr>
        <w:tc>
          <w:tcPr>
            <w:tcW w:w="3440" w:type="dxa"/>
            <w:vAlign w:val="bottom"/>
          </w:tcPr>
          <w:p>
            <w:pPr>
              <w:spacing w:after="0"/>
              <w:rPr>
                <w:sz w:val="18"/>
                <w:szCs w:val="18"/>
                <w:color w:val="auto"/>
              </w:rPr>
            </w:pPr>
          </w:p>
        </w:tc>
        <w:tc>
          <w:tcPr>
            <w:tcW w:w="2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Number of Shares to be Issued</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Available for Future Issuance</w:t>
            </w:r>
          </w:p>
        </w:tc>
        <w:tc>
          <w:tcPr>
            <w:tcW w:w="0" w:type="dxa"/>
            <w:vAlign w:val="bottom"/>
          </w:tcPr>
          <w:p>
            <w:pPr>
              <w:spacing w:after="0"/>
              <w:rPr>
                <w:sz w:val="1"/>
                <w:szCs w:val="1"/>
                <w:color w:val="auto"/>
              </w:rPr>
            </w:pPr>
          </w:p>
        </w:tc>
      </w:tr>
      <w:tr>
        <w:trPr>
          <w:trHeight w:val="213"/>
        </w:trPr>
        <w:tc>
          <w:tcPr>
            <w:tcW w:w="3440" w:type="dxa"/>
            <w:vAlign w:val="bottom"/>
          </w:tcPr>
          <w:p>
            <w:pPr>
              <w:spacing w:after="0"/>
              <w:rPr>
                <w:sz w:val="18"/>
                <w:szCs w:val="18"/>
                <w:color w:val="auto"/>
              </w:rPr>
            </w:pPr>
          </w:p>
        </w:tc>
        <w:tc>
          <w:tcPr>
            <w:tcW w:w="2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Upon Exercise of Outstanding</w:t>
            </w:r>
          </w:p>
        </w:tc>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Weighted-Average Exercise</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 Equity Compensation</w:t>
            </w:r>
          </w:p>
        </w:tc>
        <w:tc>
          <w:tcPr>
            <w:tcW w:w="0" w:type="dxa"/>
            <w:vAlign w:val="bottom"/>
          </w:tcPr>
          <w:p>
            <w:pPr>
              <w:spacing w:after="0"/>
              <w:rPr>
                <w:sz w:val="1"/>
                <w:szCs w:val="1"/>
                <w:color w:val="auto"/>
              </w:rPr>
            </w:pPr>
          </w:p>
        </w:tc>
      </w:tr>
      <w:tr>
        <w:trPr>
          <w:trHeight w:val="213"/>
        </w:trPr>
        <w:tc>
          <w:tcPr>
            <w:tcW w:w="3440" w:type="dxa"/>
            <w:vAlign w:val="bottom"/>
          </w:tcPr>
          <w:p>
            <w:pPr>
              <w:spacing w:after="0"/>
              <w:rPr>
                <w:sz w:val="18"/>
                <w:szCs w:val="18"/>
                <w:color w:val="auto"/>
              </w:rPr>
            </w:pPr>
          </w:p>
        </w:tc>
        <w:tc>
          <w:tcPr>
            <w:tcW w:w="2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Options, Warrants and Rights</w:t>
            </w:r>
          </w:p>
        </w:tc>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Price of Outstanding Options,</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Plans (Excluding Shares</w:t>
            </w:r>
          </w:p>
        </w:tc>
        <w:tc>
          <w:tcPr>
            <w:tcW w:w="0" w:type="dxa"/>
            <w:vAlign w:val="bottom"/>
          </w:tcPr>
          <w:p>
            <w:pPr>
              <w:spacing w:after="0"/>
              <w:rPr>
                <w:sz w:val="1"/>
                <w:szCs w:val="1"/>
                <w:color w:val="auto"/>
              </w:rPr>
            </w:pPr>
          </w:p>
        </w:tc>
      </w:tr>
      <w:tr>
        <w:trPr>
          <w:trHeight w:val="236"/>
        </w:trPr>
        <w:tc>
          <w:tcPr>
            <w:tcW w:w="344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80" w:type="dxa"/>
            <w:vAlign w:val="bottom"/>
          </w:tcPr>
          <w:p>
            <w:pPr>
              <w:spacing w:after="0"/>
              <w:rPr>
                <w:sz w:val="20"/>
                <w:szCs w:val="20"/>
                <w:color w:val="auto"/>
              </w:rPr>
            </w:pPr>
          </w:p>
        </w:tc>
        <w:tc>
          <w:tcPr>
            <w:tcW w:w="2560" w:type="dxa"/>
            <w:vAlign w:val="bottom"/>
            <w:gridSpan w:val="2"/>
          </w:tcPr>
          <w:p>
            <w:pPr>
              <w:jc w:val="center"/>
              <w:ind w:right="100"/>
              <w:spacing w:after="0" w:line="236" w:lineRule="exact"/>
              <w:rPr>
                <w:sz w:val="20"/>
                <w:szCs w:val="20"/>
                <w:color w:val="auto"/>
              </w:rPr>
            </w:pPr>
            <w:r>
              <w:rPr>
                <w:rFonts w:ascii="Times New Roman" w:cs="Times New Roman" w:eastAsia="Times New Roman" w:hAnsi="Times New Roman"/>
                <w:sz w:val="17"/>
                <w:szCs w:val="17"/>
                <w:b w:val="1"/>
                <w:bCs w:val="1"/>
                <w:color w:val="auto"/>
              </w:rPr>
              <w:t>Warrants and Rights</w:t>
            </w:r>
            <w:r>
              <w:rPr>
                <w:rFonts w:ascii="Times New Roman" w:cs="Times New Roman" w:eastAsia="Times New Roman" w:hAnsi="Times New Roman"/>
                <w:sz w:val="27"/>
                <w:szCs w:val="27"/>
                <w:b w:val="1"/>
                <w:bCs w:val="1"/>
                <w:color w:val="auto"/>
                <w:vertAlign w:val="superscript"/>
              </w:rPr>
              <w:t>(1)</w:t>
            </w:r>
            <w:r>
              <w:rPr>
                <w:rFonts w:ascii="Times New Roman" w:cs="Times New Roman" w:eastAsia="Times New Roman" w:hAnsi="Times New Roman"/>
                <w:sz w:val="17"/>
                <w:szCs w:val="17"/>
                <w:b w:val="1"/>
                <w:bCs w:val="1"/>
                <w:color w:val="auto"/>
              </w:rPr>
              <w:t xml:space="preserve"> ($)</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Reflected in the First Column) (#)</w:t>
            </w:r>
          </w:p>
        </w:tc>
        <w:tc>
          <w:tcPr>
            <w:tcW w:w="0" w:type="dxa"/>
            <w:vAlign w:val="bottom"/>
          </w:tcPr>
          <w:p>
            <w:pPr>
              <w:spacing w:after="0"/>
              <w:rPr>
                <w:sz w:val="1"/>
                <w:szCs w:val="1"/>
                <w:color w:val="auto"/>
              </w:rPr>
            </w:pPr>
          </w:p>
        </w:tc>
      </w:tr>
      <w:tr>
        <w:trPr>
          <w:trHeight w:val="188"/>
        </w:trPr>
        <w:tc>
          <w:tcPr>
            <w:tcW w:w="3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Equity compensation plan approved by</w:t>
            </w:r>
          </w:p>
        </w:tc>
        <w:tc>
          <w:tcPr>
            <w:tcW w:w="24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440" w:type="dxa"/>
            <w:vAlign w:val="bottom"/>
            <w:shd w:val="clear" w:color="auto" w:fill="CCEEFF"/>
          </w:tcPr>
          <w:p>
            <w:pPr>
              <w:spacing w:after="0" w:line="232" w:lineRule="exact"/>
              <w:rPr>
                <w:sz w:val="20"/>
                <w:szCs w:val="20"/>
                <w:color w:val="auto"/>
              </w:rPr>
            </w:pPr>
            <w:r>
              <w:rPr>
                <w:rFonts w:ascii="Times New Roman" w:cs="Times New Roman" w:eastAsia="Times New Roman" w:hAnsi="Times New Roman"/>
                <w:sz w:val="16"/>
                <w:szCs w:val="16"/>
                <w:color w:val="auto"/>
              </w:rPr>
              <w:t xml:space="preserve">security holders </w:t>
            </w:r>
            <w:r>
              <w:rPr>
                <w:rFonts w:ascii="Times New Roman" w:cs="Times New Roman" w:eastAsia="Times New Roman" w:hAnsi="Times New Roman"/>
                <w:sz w:val="26"/>
                <w:szCs w:val="26"/>
                <w:color w:val="auto"/>
                <w:vertAlign w:val="superscript"/>
              </w:rPr>
              <w:t>(2)</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6,274,045</w:t>
            </w:r>
            <w:r>
              <w:rPr>
                <w:rFonts w:ascii="Times New Roman" w:cs="Times New Roman" w:eastAsia="Times New Roman" w:hAnsi="Times New Roman"/>
                <w:sz w:val="14"/>
                <w:szCs w:val="14"/>
                <w:color w:val="auto"/>
              </w:rPr>
              <w:t>(3)</w:t>
            </w:r>
          </w:p>
        </w:tc>
        <w:tc>
          <w:tcPr>
            <w:tcW w:w="2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14.65</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3,668,856</w:t>
            </w:r>
          </w:p>
        </w:tc>
        <w:tc>
          <w:tcPr>
            <w:tcW w:w="0" w:type="dxa"/>
            <w:vAlign w:val="bottom"/>
          </w:tcPr>
          <w:p>
            <w:pPr>
              <w:spacing w:after="0"/>
              <w:rPr>
                <w:sz w:val="1"/>
                <w:szCs w:val="1"/>
                <w:color w:val="auto"/>
              </w:rPr>
            </w:pPr>
          </w:p>
        </w:tc>
      </w:tr>
      <w:tr>
        <w:trPr>
          <w:trHeight w:val="195"/>
        </w:trPr>
        <w:tc>
          <w:tcPr>
            <w:tcW w:w="34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2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394,467</w:t>
            </w:r>
            <w:r>
              <w:rPr>
                <w:rFonts w:ascii="Times New Roman" w:cs="Times New Roman" w:eastAsia="Times New Roman" w:hAnsi="Times New Roman"/>
                <w:sz w:val="29"/>
                <w:szCs w:val="29"/>
                <w:color w:val="auto"/>
                <w:vertAlign w:val="subscript"/>
              </w:rPr>
              <w:t>(5)</w:t>
            </w:r>
          </w:p>
        </w:tc>
        <w:tc>
          <w:tcPr>
            <w:tcW w:w="2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57.11</w:t>
            </w:r>
          </w:p>
        </w:tc>
        <w:tc>
          <w:tcPr>
            <w:tcW w:w="2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1,306,714</w:t>
            </w:r>
          </w:p>
        </w:tc>
        <w:tc>
          <w:tcPr>
            <w:tcW w:w="0" w:type="dxa"/>
            <w:vAlign w:val="bottom"/>
          </w:tcPr>
          <w:p>
            <w:pPr>
              <w:spacing w:after="0"/>
              <w:rPr>
                <w:sz w:val="1"/>
                <w:szCs w:val="1"/>
                <w:color w:val="auto"/>
              </w:rPr>
            </w:pPr>
          </w:p>
        </w:tc>
      </w:tr>
      <w:tr>
        <w:trPr>
          <w:trHeight w:val="218"/>
        </w:trPr>
        <w:tc>
          <w:tcPr>
            <w:tcW w:w="3440" w:type="dxa"/>
            <w:vAlign w:val="bottom"/>
          </w:tcPr>
          <w:p>
            <w:pPr>
              <w:spacing w:after="0" w:line="219" w:lineRule="exact"/>
              <w:rPr>
                <w:sz w:val="20"/>
                <w:szCs w:val="20"/>
                <w:color w:val="auto"/>
              </w:rPr>
            </w:pPr>
            <w:r>
              <w:rPr>
                <w:rFonts w:ascii="Times New Roman" w:cs="Times New Roman" w:eastAsia="Times New Roman" w:hAnsi="Times New Roman"/>
                <w:sz w:val="16"/>
                <w:szCs w:val="16"/>
                <w:color w:val="auto"/>
              </w:rPr>
              <w:t xml:space="preserve">security holders </w:t>
            </w:r>
            <w:r>
              <w:rPr>
                <w:rFonts w:ascii="Times New Roman" w:cs="Times New Roman" w:eastAsia="Times New Roman" w:hAnsi="Times New Roman"/>
                <w:sz w:val="25"/>
                <w:szCs w:val="25"/>
                <w:color w:val="auto"/>
                <w:vertAlign w:val="superscript"/>
              </w:rPr>
              <w:t>(4)</w:t>
            </w:r>
          </w:p>
        </w:tc>
        <w:tc>
          <w:tcPr>
            <w:tcW w:w="2660" w:type="dxa"/>
            <w:vAlign w:val="bottom"/>
            <w:gridSpan w:val="2"/>
            <w:vMerge w:val="continue"/>
          </w:tcPr>
          <w:p>
            <w:pPr>
              <w:spacing w:after="0"/>
              <w:rPr>
                <w:sz w:val="19"/>
                <w:szCs w:val="19"/>
                <w:color w:val="auto"/>
              </w:rPr>
            </w:pPr>
          </w:p>
        </w:tc>
        <w:tc>
          <w:tcPr>
            <w:tcW w:w="2560" w:type="dxa"/>
            <w:vAlign w:val="bottom"/>
            <w:gridSpan w:val="2"/>
            <w:vMerge w:val="continue"/>
          </w:tcPr>
          <w:p>
            <w:pPr>
              <w:spacing w:after="0"/>
              <w:rPr>
                <w:sz w:val="19"/>
                <w:szCs w:val="19"/>
                <w:color w:val="auto"/>
              </w:rPr>
            </w:pPr>
          </w:p>
        </w:tc>
        <w:tc>
          <w:tcPr>
            <w:tcW w:w="2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6,668,512</w:t>
            </w:r>
          </w:p>
        </w:tc>
        <w:tc>
          <w:tcPr>
            <w:tcW w:w="180" w:type="dxa"/>
            <w:vAlign w:val="bottom"/>
            <w:shd w:val="clear" w:color="auto" w:fill="CCEEFF"/>
          </w:tcPr>
          <w:p>
            <w:pPr>
              <w:spacing w:after="0"/>
              <w:rPr>
                <w:sz w:val="17"/>
                <w:szCs w:val="17"/>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shd w:val="clear" w:color="auto" w:fill="CCEEFF"/>
          </w:tcPr>
          <w:p>
            <w:pPr>
              <w:spacing w:after="0"/>
              <w:rPr>
                <w:sz w:val="17"/>
                <w:szCs w:val="17"/>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4,975,570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220" w:right="240" w:hanging="212"/>
        <w:spacing w:after="0" w:line="254" w:lineRule="auto"/>
        <w:rPr>
          <w:sz w:val="20"/>
          <w:szCs w:val="20"/>
          <w:color w:val="auto"/>
        </w:rPr>
      </w:pPr>
      <w:r>
        <w:rPr>
          <w:rFonts w:ascii="Times New Roman" w:cs="Times New Roman" w:eastAsia="Times New Roman" w:hAnsi="Times New Roman"/>
          <w:sz w:val="18"/>
          <w:szCs w:val="18"/>
          <w:color w:val="auto"/>
        </w:rPr>
        <w:t>(1)Represents the weighted-average exercise price of the applicable outstanding options and the Auerbach Warrant. Outstanding RSUs vest and convert to shares of common stock without the payment of consideration. Therefore, the weighted-average exercise price excludes RSUs issued under the equity compensation plans.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(2)Consists of the 2011 Plan and the Auerbach Warrant.</w:t>
      </w:r>
    </w:p>
    <w:p>
      <w:pPr>
        <w:spacing w:after="0" w:line="6" w:lineRule="exact"/>
        <w:rPr>
          <w:sz w:val="20"/>
          <w:szCs w:val="20"/>
          <w:color w:val="auto"/>
        </w:rPr>
      </w:pPr>
    </w:p>
    <w:p>
      <w:pPr>
        <w:ind w:left="220" w:right="160" w:hanging="212"/>
        <w:spacing w:after="0" w:line="247" w:lineRule="auto"/>
        <w:rPr>
          <w:sz w:val="20"/>
          <w:szCs w:val="20"/>
          <w:color w:val="auto"/>
        </w:rPr>
      </w:pPr>
      <w:r>
        <w:rPr>
          <w:rFonts w:ascii="Times New Roman" w:cs="Times New Roman" w:eastAsia="Times New Roman" w:hAnsi="Times New Roman"/>
          <w:sz w:val="18"/>
          <w:szCs w:val="18"/>
          <w:color w:val="auto"/>
        </w:rPr>
        <w:t>(3)Represents 3,037,289 shares underlying outstanding options, 1,120,506 shares of unvested RSUs, and 2,116,250 shares subject to the Auerbach Warrant, in each case, as of December 31,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(4)Consists of the Inducement Plan.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(5)Represents 180,000 shares underlying outstanding options, and 214,467 shares of unvested RSUs, as of December 31, 2025.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 Employment Inducement Incentive Award Plan</w:t>
      </w:r>
    </w:p>
    <w:p>
      <w:pPr>
        <w:spacing w:after="0" w:line="224" w:lineRule="exact"/>
        <w:rPr>
          <w:sz w:val="20"/>
          <w:szCs w:val="20"/>
          <w:color w:val="auto"/>
        </w:rPr>
      </w:pPr>
    </w:p>
    <w:p>
      <w:pPr>
        <w:ind w:right="100" w:firstLine="427"/>
        <w:spacing w:after="0" w:line="254" w:lineRule="auto"/>
        <w:rPr>
          <w:sz w:val="20"/>
          <w:szCs w:val="20"/>
          <w:color w:val="auto"/>
        </w:rPr>
      </w:pPr>
      <w:r>
        <w:rPr>
          <w:rFonts w:ascii="Times New Roman" w:cs="Times New Roman" w:eastAsia="Times New Roman" w:hAnsi="Times New Roman"/>
          <w:sz w:val="18"/>
          <w:szCs w:val="18"/>
          <w:color w:val="auto"/>
        </w:rPr>
        <w:t>In April 2017 our Board of Directors adopted the Inducement Plan. Pursuant to applicable stock exchange rules, stockholder approval of the Inducement Plan is not required as a condition of the effectiveness of the Inducement Plan as the plan will be used to provide equity grants solely to, and in connection with the hiring of, new employees. A description of the principal features of the Inducement Plan is set forth below. In February 2020, our Board of Directors approved an amendment to the Inducement Plan to increase the number of authorized shares by 1,000,000 shares to 2,000,000 shares. In July 2021, our Board of Directors approved an amendment to increase the number of authorized shares by 1,000,000 to 3,000,000 shares.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Eligibility and Administration</w:t>
      </w:r>
    </w:p>
    <w:p>
      <w:pPr>
        <w:spacing w:after="0" w:line="222" w:lineRule="exact"/>
        <w:rPr>
          <w:sz w:val="20"/>
          <w:szCs w:val="20"/>
          <w:color w:val="auto"/>
        </w:rPr>
      </w:pPr>
    </w:p>
    <w:p>
      <w:pPr>
        <w:ind w:right="20" w:firstLine="427"/>
        <w:spacing w:after="0" w:line="254" w:lineRule="auto"/>
        <w:rPr>
          <w:sz w:val="20"/>
          <w:szCs w:val="20"/>
          <w:color w:val="auto"/>
        </w:rPr>
      </w:pPr>
      <w:r>
        <w:rPr>
          <w:rFonts w:ascii="Times New Roman" w:cs="Times New Roman" w:eastAsia="Times New Roman" w:hAnsi="Times New Roman"/>
          <w:sz w:val="18"/>
          <w:szCs w:val="18"/>
          <w:color w:val="auto"/>
        </w:rPr>
        <w:t>Only certain prospective employees of the Company are eligible to participate in the Inducement Plan. The Inducement Plan is administered by our Compensation Committee. The plan administrator has the authority to make all determinations and interpretations under, prescribe all forms for use with, and adopt rules for the administration of, the Inducement Plan, subject to its express terms and conditions. The plan administrator also sets the terms and conditions of all awards under the Inducement Plan, including any vesting and vesting acceleration conditions. Awards must be approved by the Compensation Committee or a majority of our independent directors and the authority to grant awards under the Inducement Plan may not be delegated.</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Limitation on Awards and Shares Available</w:t>
      </w:r>
    </w:p>
    <w:p>
      <w:pPr>
        <w:spacing w:after="0" w:line="2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maximum number of shares of our common stock authorized for issuance under the Inducement Plan is 3,000,000 shares.</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types of shares are added back to the available share limit under the Inducement Plan:</w:t>
      </w:r>
    </w:p>
    <w:p>
      <w:pPr>
        <w:spacing w:after="0" w:line="220" w:lineRule="exact"/>
        <w:rPr>
          <w:sz w:val="20"/>
          <w:szCs w:val="20"/>
          <w:color w:val="auto"/>
        </w:rPr>
      </w:pPr>
    </w:p>
    <w:p>
      <w:pPr>
        <w:ind w:firstLine="427"/>
        <w:spacing w:after="0" w:line="253" w:lineRule="auto"/>
        <w:rPr>
          <w:sz w:val="20"/>
          <w:szCs w:val="20"/>
          <w:color w:val="auto"/>
        </w:rPr>
      </w:pPr>
      <w:r>
        <w:rPr>
          <w:rFonts w:ascii="Times New Roman" w:cs="Times New Roman" w:eastAsia="Times New Roman" w:hAnsi="Times New Roman"/>
          <w:sz w:val="18"/>
          <w:szCs w:val="18"/>
          <w:color w:val="auto"/>
        </w:rPr>
        <w:t>Shares subject to awards under the Inducement Plan that are forfeited, expire or are settled for cash and shares repurchased by the Company at the same price paid by a participant pursuant to the Company’s repurchase right with respect to restricted stock awards. However, the following types of shares are not added back to the available share limit under the Inducement Plan: (i) shares subject to a stock appreciation right (“SAR”) that are not issued in connection with the stock settlement of the SAR on its exercise, (ii) shares purchased on the open market with the cash proceeds from the exercise of options and (iii) shares tendered or withheld to satisfy grant or exercise price or tax withholding obligations associated with an award. Shares issued under the Inducement Plan may be treasury shares or authorized but unissued shares.</w:t>
      </w:r>
    </w:p>
    <w:p>
      <w:pPr>
        <w:sectPr>
          <w:pgSz w:w="11900" w:h="16838" w:orient="portrait"/>
          <w:cols w:equalWidth="0" w:num="1">
            <w:col w:w="11240"/>
          </w:cols>
          <w:pgMar w:left="320" w:top="121"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Awards</w:t>
      </w:r>
    </w:p>
    <w:p>
      <w:pPr>
        <w:spacing w:after="0" w:line="222" w:lineRule="exact"/>
        <w:rPr>
          <w:sz w:val="20"/>
          <w:szCs w:val="20"/>
          <w:color w:val="auto"/>
        </w:rPr>
      </w:pPr>
    </w:p>
    <w:p>
      <w:pPr>
        <w:ind w:right="80" w:firstLine="427"/>
        <w:spacing w:after="0" w:line="252" w:lineRule="auto"/>
        <w:rPr>
          <w:sz w:val="20"/>
          <w:szCs w:val="20"/>
          <w:color w:val="auto"/>
        </w:rPr>
      </w:pPr>
      <w:r>
        <w:rPr>
          <w:rFonts w:ascii="Times New Roman" w:cs="Times New Roman" w:eastAsia="Times New Roman" w:hAnsi="Times New Roman"/>
          <w:sz w:val="18"/>
          <w:szCs w:val="18"/>
          <w:color w:val="auto"/>
        </w:rPr>
        <w:t>The Inducement Plan provides for the grant of stock options, including non-qualified stock options, restricted stock, dividend equivalents, stock payments, RSUs, deferred stock, performance shares, other incentive awards, SARs, and performance awards (including cash awards). Certain awards under the Inducement Plan may constitute or provide for a deferral of compensation, subject to Section 409A of the Code, which may impose additional requirements on the terms and conditions of such awards. All awards under the Inducement Plan are to be set forth in award agreements, which detail the terms and conditions of the awards, including any applicable vesting and payment terms and post-termination exercise limitations. Awards other than cash awards are generally settled in shares of our common stock, but the plan administrator may provide for cash settlement of any award. A brief description of each award type follows.</w:t>
      </w:r>
    </w:p>
    <w:p>
      <w:pPr>
        <w:spacing w:after="0" w:line="185" w:lineRule="exact"/>
        <w:rPr>
          <w:sz w:val="20"/>
          <w:szCs w:val="20"/>
          <w:color w:val="auto"/>
        </w:rPr>
      </w:pPr>
    </w:p>
    <w:p>
      <w:pPr>
        <w:ind w:left="460" w:right="120" w:hanging="226"/>
        <w:spacing w:after="0" w:line="278" w:lineRule="auto"/>
        <w:tabs>
          <w:tab w:leader="none" w:pos="4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Stock Options</w:t>
      </w:r>
      <w:r>
        <w:rPr>
          <w:rFonts w:ascii="Times New Roman" w:cs="Times New Roman" w:eastAsia="Times New Roman" w:hAnsi="Times New Roman"/>
          <w:sz w:val="17"/>
          <w:szCs w:val="17"/>
          <w:color w:val="auto"/>
        </w:rPr>
        <w:t>. Stock options provide for the purchase of shares of our common stock in the future at an exercise price set on the grant date.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exercise price of a stock option may not be less than 100% of the fair market value of the underlying share on the date of grant, except with respect to certain substitute options granted in connection with a corporate transaction. The term of a stock option may not be longer than ten years. Vesting conditions determined by the plan administrator may apply to stock options, and may include continued service, performance and/or other conditions.</w:t>
      </w:r>
    </w:p>
    <w:p>
      <w:pPr>
        <w:spacing w:after="0" w:line="161" w:lineRule="exact"/>
        <w:rPr>
          <w:rFonts w:ascii="Times New Roman" w:cs="Times New Roman" w:eastAsia="Times New Roman" w:hAnsi="Times New Roman"/>
          <w:sz w:val="17"/>
          <w:szCs w:val="17"/>
          <w:color w:val="auto"/>
        </w:rPr>
      </w:pPr>
    </w:p>
    <w:p>
      <w:pPr>
        <w:ind w:left="460" w:right="100" w:hanging="226"/>
        <w:spacing w:after="0" w:line="255" w:lineRule="auto"/>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SARs entitle their holder, upon exercise, to receive from us an amount equal to the appreciation of the shares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between the grant date and the exercise date. The exercise price of a SAR may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w:t>
      </w:r>
    </w:p>
    <w:p>
      <w:pPr>
        <w:spacing w:after="0" w:line="181" w:lineRule="exact"/>
        <w:rPr>
          <w:rFonts w:ascii="Times New Roman" w:cs="Times New Roman" w:eastAsia="Times New Roman" w:hAnsi="Times New Roman"/>
          <w:sz w:val="18"/>
          <w:szCs w:val="18"/>
          <w:color w:val="auto"/>
        </w:rPr>
      </w:pPr>
    </w:p>
    <w:p>
      <w:pPr>
        <w:ind w:left="460" w:hanging="226"/>
        <w:spacing w:after="0" w:line="251" w:lineRule="auto"/>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Deferred Stock; RSUs and Performance Shares</w:t>
      </w:r>
      <w:r>
        <w:rPr>
          <w:rFonts w:ascii="Times New Roman" w:cs="Times New Roman" w:eastAsia="Times New Roman" w:hAnsi="Times New Roman"/>
          <w:sz w:val="18"/>
          <w:szCs w:val="18"/>
          <w:color w:val="auto"/>
        </w:rPr>
        <w:t>. Restricted stock is an award of nontransferable shares of our common stock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 forfeitable unless and until specified conditions are met, and which may be subject to a purchase price, or that are acquired pursuant to the early exercise of an option. No dividends are payable with respect to restricted stock prior to vesting unless and until the vesting conditions are subsequently satisfied. Deferred stock and RSUs are contractual promises to deliver shares of our common stock in the future, which may also remain forfeitable unless and until specified conditions are met. Delivery of the shares underlying these awards may be deferred under the terms of the award or at the election of the participant, if the plan administrator permits such a deferral. Performance shares are contractual rights to receive a range of shares of our common stock in the future based on the attainment of specified performance goals, in addition to other conditions which may apply to these awards. Conditions applicable to restricted stock, deferred stock, RSUs and performance shares may be based on continuing service with us or our affiliates, the attainment of performance goals and/or such other conditions as the plan administrator may determine.</w:t>
      </w:r>
    </w:p>
    <w:p>
      <w:pPr>
        <w:spacing w:after="0" w:line="186" w:lineRule="exact"/>
        <w:rPr>
          <w:rFonts w:ascii="Times New Roman" w:cs="Times New Roman" w:eastAsia="Times New Roman" w:hAnsi="Times New Roman"/>
          <w:sz w:val="18"/>
          <w:szCs w:val="18"/>
          <w:color w:val="auto"/>
        </w:rPr>
      </w:pPr>
    </w:p>
    <w:p>
      <w:pPr>
        <w:ind w:left="460" w:right="20" w:hanging="226"/>
        <w:spacing w:after="0" w:line="255" w:lineRule="auto"/>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Payments; Other Incentive Awards and Cash Awards. </w:t>
      </w:r>
      <w:r>
        <w:rPr>
          <w:rFonts w:ascii="Times New Roman" w:cs="Times New Roman" w:eastAsia="Times New Roman" w:hAnsi="Times New Roman"/>
          <w:sz w:val="18"/>
          <w:szCs w:val="18"/>
          <w:color w:val="auto"/>
        </w:rPr>
        <w:t>Stock payments are awards of fully vested shares of our common stock that may, but need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made in lieu of base salary, bonus, fees or other cash compensation otherwise payable to any individual who is eligible to receive awards. Other incentive awards are awards other than those enumerated in this summary that are denominated in, linked to or derived from shares of our common stock or value metrics related to our shares, and may remain forfeitable unless and until specified conditions are met. Cash awards are cash incentive bonuses subject to performance goals.</w:t>
      </w:r>
    </w:p>
    <w:p>
      <w:pPr>
        <w:spacing w:after="0" w:line="181" w:lineRule="exact"/>
        <w:rPr>
          <w:rFonts w:ascii="Times New Roman" w:cs="Times New Roman" w:eastAsia="Times New Roman" w:hAnsi="Times New Roman"/>
          <w:sz w:val="18"/>
          <w:szCs w:val="18"/>
          <w:color w:val="auto"/>
        </w:rPr>
      </w:pPr>
    </w:p>
    <w:p>
      <w:pPr>
        <w:ind w:left="460" w:right="80" w:hanging="226"/>
        <w:spacing w:after="0" w:line="255" w:lineRule="auto"/>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Equivalents</w:t>
      </w:r>
      <w:r>
        <w:rPr>
          <w:rFonts w:ascii="Times New Roman" w:cs="Times New Roman" w:eastAsia="Times New Roman" w:hAnsi="Times New Roman"/>
          <w:sz w:val="18"/>
          <w:szCs w:val="18"/>
          <w:color w:val="auto"/>
        </w:rPr>
        <w:t>. Dividend equivalents represent the right to receive the equivalent value of dividends paid on shares of our common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granted alone or in tandem with awards. Dividend equivalents are credited as of dividend payment dates during the period between the date an award is granted and the date such award terminates or expires, as determined by the plan administrator. In addition, dividend equivalents will only be paid out to the holder to the extent that such vesting conditions of the underlying award are subsequently satisfied. Dividend equivalents will not be payable on options or SARs, unless otherwise determined by the plan administrator.</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Certain Transactions</w:t>
      </w:r>
    </w:p>
    <w:p>
      <w:pPr>
        <w:spacing w:after="0" w:line="222" w:lineRule="exact"/>
        <w:rPr>
          <w:sz w:val="20"/>
          <w:szCs w:val="20"/>
          <w:color w:val="auto"/>
        </w:rPr>
      </w:pPr>
    </w:p>
    <w:p>
      <w:pPr>
        <w:ind w:right="40" w:firstLine="427"/>
        <w:spacing w:after="0" w:line="251" w:lineRule="auto"/>
        <w:rPr>
          <w:sz w:val="20"/>
          <w:szCs w:val="20"/>
          <w:color w:val="auto"/>
        </w:rPr>
      </w:pPr>
      <w:r>
        <w:rPr>
          <w:rFonts w:ascii="Times New Roman" w:cs="Times New Roman" w:eastAsia="Times New Roman" w:hAnsi="Times New Roman"/>
          <w:sz w:val="18"/>
          <w:szCs w:val="18"/>
          <w:color w:val="auto"/>
        </w:rPr>
        <w:t>The plan administrator has broad discretion to equitably adjust the provisions of the Inducement Plan, as well as the 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Inducement Plan and outstanding awards. In the event of a change in control of our company (as defined in the Inducement Plan), the surviving entity must assume outstanding awards or substitute economically equivalent awards for such outstanding awards; however, if the surviving entity declines to assume or substitute for some or all outstanding awards, then all such awards will vest in full and be deemed exercised (as applicable) upon the transaction. Individual award agreements may provide for additional accelerated vesting and payment provisions.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Foreign Participants; Transferability, Repricing and Participant Payments</w:t>
      </w:r>
    </w:p>
    <w:p>
      <w:pPr>
        <w:spacing w:after="0" w:line="222" w:lineRule="exact"/>
        <w:rPr>
          <w:sz w:val="20"/>
          <w:szCs w:val="20"/>
          <w:color w:val="auto"/>
        </w:rPr>
      </w:pPr>
    </w:p>
    <w:p>
      <w:pPr>
        <w:ind w:right="100" w:firstLine="427"/>
        <w:spacing w:after="0" w:line="268" w:lineRule="auto"/>
        <w:rPr>
          <w:sz w:val="20"/>
          <w:szCs w:val="20"/>
          <w:color w:val="auto"/>
        </w:rPr>
      </w:pPr>
      <w:r>
        <w:rPr>
          <w:rFonts w:ascii="Times New Roman" w:cs="Times New Roman" w:eastAsia="Times New Roman" w:hAnsi="Times New Roman"/>
          <w:sz w:val="17"/>
          <w:szCs w:val="17"/>
          <w:color w:val="auto"/>
        </w:rPr>
        <w:t>The plan administrator may modify award terms, establish subplans and/or adjust other terms and conditions of awards, subject to the share limits described above, in order to facilitate grants of awards subject to the laws and/or stock exchange rules of countries outside of the United States. With limited exceptions for estate planning, domestic relations orders, certain beneficiary designations and the laws of descent and distribution, awards under the Inducement Plan are generally non-transferable prior to vesting and exercisable only by the participant. The Inducement Plan requires stockholder approval to reprice any award of stock options or SARs (whether through a reduction of the applicable price per share or the cancellation and substitution of such an award with another award when the price per share for such award exceeds the fair market value of the underlying shares). With regard to tax withholding, exercise price and purchase price obligations arising in connection with awards under the Inducement Plan, the plan administrator may, in its discretion, accept cash or check, shares of our common stock that meet specified conditions, a “market sell order” or such other consideration as it deems suitable.</w:t>
      </w:r>
    </w:p>
    <w:p>
      <w:pPr>
        <w:sectPr>
          <w:pgSz w:w="11900" w:h="16838" w:orient="portrait"/>
          <w:cols w:equalWidth="0" w:num="1">
            <w:col w:w="11240"/>
          </w:cols>
          <w:pgMar w:left="320" w:top="121" w:right="339" w:bottom="1440"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Stockholder Approval; Plan Amendment and Termination</w:t>
      </w:r>
    </w:p>
    <w:p>
      <w:pPr>
        <w:spacing w:after="0" w:line="222" w:lineRule="exact"/>
        <w:rPr>
          <w:sz w:val="20"/>
          <w:szCs w:val="20"/>
          <w:color w:val="auto"/>
        </w:rPr>
      </w:pPr>
    </w:p>
    <w:p>
      <w:pPr>
        <w:ind w:right="220" w:firstLine="427"/>
        <w:spacing w:after="0" w:line="254" w:lineRule="auto"/>
        <w:rPr>
          <w:sz w:val="20"/>
          <w:szCs w:val="20"/>
          <w:color w:val="auto"/>
        </w:rPr>
      </w:pPr>
      <w:r>
        <w:rPr>
          <w:rFonts w:ascii="Times New Roman" w:cs="Times New Roman" w:eastAsia="Times New Roman" w:hAnsi="Times New Roman"/>
          <w:sz w:val="18"/>
          <w:szCs w:val="18"/>
          <w:color w:val="auto"/>
        </w:rPr>
        <w:t>Pursuant to applicable stock exchange rules, stockholder approval of the Inducement Plan was not required as a condition of the effectiveness of the Inducement Plan. The Board of Directors may amend or terminate the Inducement Plan at any time; however, except in connection with certain changes in our capital structure, stockholder approval will be required for any amendment that reduces the price per share of any outstanding option or SAR granted under the Inducement Plan or that cancels any stock option or SAR in exchange for cash or another award when the option or SAR price per share exceeds the fair market value of the underlying shares.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MATTERS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4" w:lineRule="exact"/>
        <w:rPr>
          <w:sz w:val="20"/>
          <w:szCs w:val="20"/>
          <w:color w:val="auto"/>
        </w:rPr>
      </w:pPr>
    </w:p>
    <w:p>
      <w:pPr>
        <w:ind w:right="140" w:firstLine="427"/>
        <w:spacing w:after="0" w:line="277" w:lineRule="auto"/>
        <w:rPr>
          <w:sz w:val="20"/>
          <w:szCs w:val="20"/>
          <w:color w:val="auto"/>
        </w:rPr>
      </w:pPr>
      <w:r>
        <w:rPr>
          <w:rFonts w:ascii="Times New Roman" w:cs="Times New Roman" w:eastAsia="Times New Roman" w:hAnsi="Times New Roman"/>
          <w:sz w:val="18"/>
          <w:szCs w:val="18"/>
          <w:color w:val="auto"/>
        </w:rPr>
        <w:t>Following is the report of the Audit Committee with respect to the Company’s audited financial statements as of and for the year ended December 31, 2025 and the notes thereto.</w:t>
      </w:r>
    </w:p>
    <w:p>
      <w:pPr>
        <w:spacing w:after="0" w:line="161" w:lineRule="exact"/>
        <w:rPr>
          <w:sz w:val="20"/>
          <w:szCs w:val="20"/>
          <w:color w:val="auto"/>
        </w:rPr>
      </w:pPr>
    </w:p>
    <w:p>
      <w:pPr>
        <w:ind w:right="60" w:firstLine="427"/>
        <w:spacing w:after="0" w:line="251" w:lineRule="auto"/>
        <w:rPr>
          <w:sz w:val="20"/>
          <w:szCs w:val="20"/>
          <w:color w:val="auto"/>
        </w:rPr>
      </w:pPr>
      <w:r>
        <w:rPr>
          <w:rFonts w:ascii="Times New Roman" w:cs="Times New Roman" w:eastAsia="Times New Roman" w:hAnsi="Times New Roman"/>
          <w:sz w:val="18"/>
          <w:szCs w:val="18"/>
          <w:i w:val="1"/>
          <w:iCs w:val="1"/>
          <w:color w:val="auto"/>
        </w:rPr>
        <w:t>Responsibilities</w:t>
      </w:r>
      <w:r>
        <w:rPr>
          <w:rFonts w:ascii="Times New Roman" w:cs="Times New Roman" w:eastAsia="Times New Roman" w:hAnsi="Times New Roman"/>
          <w:sz w:val="18"/>
          <w:szCs w:val="18"/>
          <w:color w:val="auto"/>
        </w:rPr>
        <w:t>. The Audit Committee operates under a written charter adopted by the Board. The role of the Audit Committee is to oversee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financial reporting process on behalf of the Board. The Company’s management has the primary responsibility for the Company’s financial statements as well as its financial reporting process and principles, internal controls and disclosure controls. Management is responsible for the preparation, presentation and integrity of the Company’s financial statements. Management is also responsible for establishing and maintaining internal controls over financial reporting (as defined in Exchange Act Rule 13a-15(f)) and for evaluating the effectiveness of those internal controls and for evaluating any changes in those controls that will, or are reasonably likely to, affect internal controls over financial reporting. Management is also responsible for establishing and maintaining disclosure controls (as defined in Exchange Act Rule 13a-15(e)) and for evaluating the effectiveness of disclosure controls and procedures. The independent registered public accounting firm is responsible for performing an audit of the Company’s financial statements and expressing an opinion as to the conformity of such financial statements with U.S. generally accepted accounting principles and is also responsible for expressing an opinion on the effectiveness of the Company’s internal controls over financial reporting.</w:t>
      </w:r>
    </w:p>
    <w:p>
      <w:pPr>
        <w:spacing w:after="0" w:line="184" w:lineRule="exact"/>
        <w:rPr>
          <w:sz w:val="20"/>
          <w:szCs w:val="20"/>
          <w:color w:val="auto"/>
        </w:rPr>
      </w:pPr>
    </w:p>
    <w:p>
      <w:pPr>
        <w:ind w:right="20" w:firstLine="427"/>
        <w:spacing w:after="0" w:line="252" w:lineRule="auto"/>
        <w:rPr>
          <w:sz w:val="20"/>
          <w:szCs w:val="20"/>
          <w:color w:val="auto"/>
        </w:rPr>
      </w:pPr>
      <w:r>
        <w:rPr>
          <w:rFonts w:ascii="Times New Roman" w:cs="Times New Roman" w:eastAsia="Times New Roman" w:hAnsi="Times New Roman"/>
          <w:sz w:val="18"/>
          <w:szCs w:val="18"/>
          <w:i w:val="1"/>
          <w:iCs w:val="1"/>
          <w:color w:val="auto"/>
        </w:rPr>
        <w:t>Review with Management and Independent Registered Public Accountants</w:t>
      </w:r>
      <w:r>
        <w:rPr>
          <w:rFonts w:ascii="Times New Roman" w:cs="Times New Roman" w:eastAsia="Times New Roman" w:hAnsi="Times New Roman"/>
          <w:sz w:val="18"/>
          <w:szCs w:val="18"/>
          <w:color w:val="auto"/>
        </w:rPr>
        <w:t>. The Audit Committee has reviewed and discussed the audited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for the fiscal year ended December 31, 2025 with management of the Company and with the Company’s independent registered public accounting firm, KPMG LLP, for the year then ended. The Audit Committee has also reviewed and discussed with management and KPMG LLP the quarterly financial statements for each quarter in such fiscal year, management’s assessment of the effectiveness of the Company’s internal control over financial reporting as of December 31, 2025, KPMG LLP’s evaluation of the Company’s internal control over financial reporting as of that date, and audit plans and results. The Audit Committee has also discussed with KPMG LLP those matters required to be discussed by the applicable requirements of the Public Company Accounting Oversight Board (PCAOB) and the SEC.</w:t>
      </w:r>
    </w:p>
    <w:p>
      <w:pPr>
        <w:spacing w:after="0" w:line="189" w:lineRule="exact"/>
        <w:rPr>
          <w:sz w:val="20"/>
          <w:szCs w:val="20"/>
          <w:color w:val="auto"/>
        </w:rPr>
      </w:pPr>
    </w:p>
    <w:p>
      <w:pPr>
        <w:jc w:val="both"/>
        <w:ind w:right="80" w:firstLine="427"/>
        <w:spacing w:after="0" w:line="262" w:lineRule="auto"/>
        <w:rPr>
          <w:sz w:val="20"/>
          <w:szCs w:val="20"/>
          <w:color w:val="auto"/>
        </w:rPr>
      </w:pPr>
      <w:r>
        <w:rPr>
          <w:rFonts w:ascii="Times New Roman" w:cs="Times New Roman" w:eastAsia="Times New Roman" w:hAnsi="Times New Roman"/>
          <w:sz w:val="18"/>
          <w:szCs w:val="18"/>
          <w:color w:val="auto"/>
        </w:rPr>
        <w:t>The Audit Committee has received and reviewed the written disclosures and the letter from KPMG LLP required by the applicable requirements of the PCAOB regarding the communications of KPMG LLP with the Audit Committee concerning the accountant’s independence, and has discussed with KPMG LLP its independence from the Company and its management.</w:t>
      </w:r>
    </w:p>
    <w:p>
      <w:pPr>
        <w:spacing w:after="0" w:line="176" w:lineRule="exact"/>
        <w:rPr>
          <w:sz w:val="20"/>
          <w:szCs w:val="20"/>
          <w:color w:val="auto"/>
        </w:rPr>
      </w:pPr>
    </w:p>
    <w:p>
      <w:pPr>
        <w:ind w:right="560" w:firstLine="427"/>
        <w:spacing w:after="0" w:line="277"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that the audited financial statements be included in the Annual Report on Form 10-K for the year ended December 31, 2025.</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Audit Committee of the Board of Directors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Jay M. Moyes (Chair)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Allison Dorval</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Troy E. Wilson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Non-Audit Fees</w:t>
      </w:r>
    </w:p>
    <w:p>
      <w:pPr>
        <w:spacing w:after="0" w:line="224" w:lineRule="exact"/>
        <w:rPr>
          <w:sz w:val="20"/>
          <w:szCs w:val="20"/>
          <w:color w:val="auto"/>
        </w:rPr>
      </w:pPr>
    </w:p>
    <w:p>
      <w:pPr>
        <w:ind w:right="100" w:firstLine="427"/>
        <w:spacing w:after="0" w:line="277" w:lineRule="auto"/>
        <w:rPr>
          <w:sz w:val="20"/>
          <w:szCs w:val="20"/>
          <w:color w:val="auto"/>
        </w:rPr>
      </w:pPr>
      <w:r>
        <w:rPr>
          <w:rFonts w:ascii="Times New Roman" w:cs="Times New Roman" w:eastAsia="Times New Roman" w:hAnsi="Times New Roman"/>
          <w:sz w:val="18"/>
          <w:szCs w:val="18"/>
          <w:color w:val="auto"/>
        </w:rPr>
        <w:t>The following table presents fees for professional services provided by KPMG for the audit of and other services rendered to us during the fiscal years ended December 31, 2025 and 2024, respectively.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881,059</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900,283</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344,583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328,749</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1,225,642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1,229,032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24" w:lineRule="exact"/>
        <w:rPr>
          <w:sz w:val="20"/>
          <w:szCs w:val="20"/>
          <w:color w:val="auto"/>
        </w:rPr>
      </w:pPr>
    </w:p>
    <w:p>
      <w:pPr>
        <w:ind w:firstLine="427"/>
        <w:spacing w:after="0" w:line="257" w:lineRule="auto"/>
        <w:rPr>
          <w:sz w:val="20"/>
          <w:szCs w:val="20"/>
          <w:color w:val="auto"/>
        </w:rPr>
      </w:pPr>
      <w:r>
        <w:rPr>
          <w:rFonts w:ascii="Times New Roman" w:cs="Times New Roman" w:eastAsia="Times New Roman" w:hAnsi="Times New Roman"/>
          <w:sz w:val="18"/>
          <w:szCs w:val="18"/>
          <w:color w:val="auto"/>
        </w:rPr>
        <w:t>This category includes fees associated with our annual audit and the reviews of our quarterly reports on Form 10-Q, consent procedures for the Form S-8 and fees associated with advice on audit and accounting matters that arose during, or as a result of, the audit or the review of our interim financial statements, statutory audits and the audit of our internal control over financial reporting required by Section 404 of the Sarbanes-Oxley Act of 2002 with respect to the fiscal years ended December 31, 2025 and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224" w:lineRule="exact"/>
        <w:rPr>
          <w:sz w:val="20"/>
          <w:szCs w:val="20"/>
          <w:color w:val="auto"/>
        </w:rPr>
      </w:pPr>
    </w:p>
    <w:p>
      <w:pPr>
        <w:ind w:right="600" w:firstLine="427"/>
        <w:spacing w:after="0" w:line="277" w:lineRule="auto"/>
        <w:rPr>
          <w:sz w:val="20"/>
          <w:szCs w:val="20"/>
          <w:color w:val="auto"/>
        </w:rPr>
      </w:pPr>
      <w:r>
        <w:rPr>
          <w:rFonts w:ascii="Times New Roman" w:cs="Times New Roman" w:eastAsia="Times New Roman" w:hAnsi="Times New Roman"/>
          <w:sz w:val="18"/>
          <w:szCs w:val="18"/>
          <w:color w:val="auto"/>
        </w:rPr>
        <w:t>This category includes fees for tax consultations, including the review of income tax returns, R&amp;D tax credit study and assistance with state tax examinations.</w:t>
      </w:r>
    </w:p>
    <w:p>
      <w:pPr>
        <w:sectPr>
          <w:pgSz w:w="11900" w:h="16838" w:orient="portrait"/>
          <w:cols w:equalWidth="0" w:num="1">
            <w:col w:w="11240"/>
          </w:cols>
          <w:pgMar w:left="320" w:top="121" w:right="339" w:bottom="508"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508"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4" w:lineRule="exact"/>
        <w:rPr>
          <w:sz w:val="20"/>
          <w:szCs w:val="20"/>
          <w:color w:val="auto"/>
        </w:rPr>
      </w:pPr>
    </w:p>
    <w:p>
      <w:pPr>
        <w:ind w:right="40" w:firstLine="427"/>
        <w:spacing w:after="0" w:line="262" w:lineRule="auto"/>
        <w:rPr>
          <w:sz w:val="20"/>
          <w:szCs w:val="20"/>
          <w:color w:val="auto"/>
        </w:rPr>
      </w:pPr>
      <w:r>
        <w:rPr>
          <w:rFonts w:ascii="Times New Roman" w:cs="Times New Roman" w:eastAsia="Times New Roman" w:hAnsi="Times New Roman"/>
          <w:sz w:val="18"/>
          <w:szCs w:val="18"/>
          <w:color w:val="auto"/>
        </w:rPr>
        <w:t>Our Audit Committee has pre-approved the permissible non-audit related services performed by KPMG, and associated fees prior to such services being approved. The Audit Committee determined that the rendering of the non-audit services was compatible with maintaining the independence of KPMG, as applicable.</w:t>
      </w:r>
    </w:p>
    <w:p>
      <w:pPr>
        <w:spacing w:after="0" w:line="176" w:lineRule="exact"/>
        <w:rPr>
          <w:sz w:val="20"/>
          <w:szCs w:val="20"/>
          <w:color w:val="auto"/>
        </w:rPr>
      </w:pPr>
    </w:p>
    <w:p>
      <w:pPr>
        <w:ind w:right="20" w:firstLine="427"/>
        <w:spacing w:after="0" w:line="252" w:lineRule="auto"/>
        <w:rPr>
          <w:sz w:val="20"/>
          <w:szCs w:val="20"/>
          <w:color w:val="auto"/>
        </w:rPr>
      </w:pPr>
      <w:r>
        <w:rPr>
          <w:rFonts w:ascii="Times New Roman" w:cs="Times New Roman" w:eastAsia="Times New Roman" w:hAnsi="Times New Roman"/>
          <w:sz w:val="18"/>
          <w:szCs w:val="18"/>
          <w:color w:val="auto"/>
        </w:rPr>
        <w:t>The Audit Committee’s policy is that pre-approval of audit and non-audit services will not be required if the engagement for the services is entered into pursuant to pre-approval policies and procedures established by the Audit Committee regarding our engagement of the independent auditor that are detailed as to the permissible particular service and fee, the Audit Committee is informed of each service provided and such policies and procedures do not include delegation of the Audit Committee’s responsibilities to our management. If the Audit Committee elects to establish pre-approval policies and procedures regarding non-audit services, the Audit Committee must be informed of each non-audit service provided by the independent auditor. Audit committee pre-approval of non-audit services (other than review and attestation services) also will not be required if such services fall within available exceptions established by the SEC.</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4" w:lineRule="exact"/>
        <w:rPr>
          <w:sz w:val="20"/>
          <w:szCs w:val="20"/>
          <w:color w:val="auto"/>
        </w:rPr>
      </w:pPr>
    </w:p>
    <w:p>
      <w:pPr>
        <w:ind w:right="180" w:firstLine="427"/>
        <w:spacing w:after="0" w:line="257" w:lineRule="auto"/>
        <w:rPr>
          <w:sz w:val="20"/>
          <w:szCs w:val="20"/>
          <w:color w:val="auto"/>
        </w:rPr>
      </w:pPr>
      <w:r>
        <w:rPr>
          <w:rFonts w:ascii="Times New Roman" w:cs="Times New Roman" w:eastAsia="Times New Roman" w:hAnsi="Times New Roman"/>
          <w:sz w:val="18"/>
          <w:szCs w:val="18"/>
          <w:color w:val="auto"/>
        </w:rPr>
        <w:t>The Audit Committee has selected KPMG LLP as our independent registered public accountants for the year ending December 31, 2026 and, upon recommendation of the Audit Committee, the Board is submitting the selection of our independent registered public accountants for ratification by the stockholders at the annual meeting. A representative of KPMG LLP is expected to be present at the annual meeting and will have an opportunity to make a statement if he or she so desires and will be available to respond to appropriate questions.</w:t>
      </w:r>
    </w:p>
    <w:p>
      <w:pPr>
        <w:spacing w:after="0" w:line="181" w:lineRule="exact"/>
        <w:rPr>
          <w:sz w:val="20"/>
          <w:szCs w:val="20"/>
          <w:color w:val="auto"/>
        </w:rPr>
      </w:pPr>
    </w:p>
    <w:p>
      <w:pPr>
        <w:ind w:right="120" w:firstLine="427"/>
        <w:spacing w:after="0" w:line="257" w:lineRule="auto"/>
        <w:rPr>
          <w:sz w:val="20"/>
          <w:szCs w:val="20"/>
          <w:color w:val="auto"/>
        </w:rPr>
      </w:pPr>
      <w:r>
        <w:rPr>
          <w:rFonts w:ascii="Times New Roman" w:cs="Times New Roman" w:eastAsia="Times New Roman" w:hAnsi="Times New Roman"/>
          <w:sz w:val="18"/>
          <w:szCs w:val="18"/>
          <w:color w:val="auto"/>
        </w:rPr>
        <w:t>If the stockholders fail to ratify the selection of KPMG LLP as our independent registered public accountants for the year ending December 31, 2026, the Audit Committee will reconsider whether or not to retain KPMG LLP, but may still retain them. Even if the selection is ratified, the Audit Committee in its discretion may direct the appointment of a different independent registered public accounting firm at any time during the year if the Audit Committee determines that such a change would be in the best interests of us and our stockholders.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0" w:lineRule="exact"/>
        <w:rPr>
          <w:sz w:val="20"/>
          <w:szCs w:val="20"/>
          <w:color w:val="auto"/>
        </w:rPr>
      </w:pPr>
    </w:p>
    <w:p>
      <w:pPr>
        <w:ind w:right="540" w:firstLine="427"/>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OUR BOARD UNANIMOUSLY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RATIFICATION OF KPMG LLP AS OUR INDEPENDENT REGISTERED PUBLIC ACCOUNTING FIRM FOR THE FISCAL YEAR ENDING DECEMBER 31, 2026.</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ADVISORY VOTE TO APPROVE THE COMPENSATION OF OUR NAMED EXECUTIVE OFFICERS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SAY-ON-PAY VOTE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4" w:lineRule="exact"/>
        <w:rPr>
          <w:sz w:val="20"/>
          <w:szCs w:val="20"/>
          <w:color w:val="auto"/>
        </w:rPr>
      </w:pPr>
    </w:p>
    <w:p>
      <w:pPr>
        <w:ind w:right="40" w:firstLine="427"/>
        <w:spacing w:after="0" w:line="253" w:lineRule="auto"/>
        <w:rPr>
          <w:sz w:val="20"/>
          <w:szCs w:val="20"/>
          <w:color w:val="auto"/>
        </w:rPr>
      </w:pPr>
      <w:r>
        <w:rPr>
          <w:rFonts w:ascii="Times New Roman" w:cs="Times New Roman" w:eastAsia="Times New Roman" w:hAnsi="Times New Roman"/>
          <w:sz w:val="18"/>
          <w:szCs w:val="18"/>
          <w:color w:val="auto"/>
        </w:rPr>
        <w:t>As required by Section 14A(a)(1) of the Exchange Act, the below resolution enables our stockholders to vote to approve, on an advisory (non-binding) basis, the compensation of our Named Executive Officers as disclosed in the Compensation Discussion and Analysis and Summary Compensation Table and related compensation tables and narrative at pages 17 to 26 of this proxy statement. This proposal, commonly known as a “say-on-pay” proposal, gives our stockholders the opportunity to express their views on our Named Executive Officers’ compensation. The say-on-pay vote is not intended to address any specific item of compensation, but rather the overall compensation of our Named Executive Officers and the philosophy, policies and practices described in this Proxy Statement.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Following the say-on-pay vote to be conducted at this annual meeting, we expect our next say-on-pay vote will be conducted at our annual meeting in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2027.</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encourage our stockholders to review the “Executive Compensation” section of this Proxy Statement for more information.</w:t>
      </w:r>
    </w:p>
    <w:p>
      <w:pPr>
        <w:spacing w:after="0" w:line="220" w:lineRule="exact"/>
        <w:rPr>
          <w:sz w:val="20"/>
          <w:szCs w:val="20"/>
          <w:color w:val="auto"/>
        </w:rPr>
      </w:pPr>
    </w:p>
    <w:p>
      <w:pPr>
        <w:ind w:firstLine="427"/>
        <w:spacing w:after="0" w:line="257" w:lineRule="auto"/>
        <w:rPr>
          <w:sz w:val="20"/>
          <w:szCs w:val="20"/>
          <w:color w:val="auto"/>
        </w:rPr>
      </w:pPr>
      <w:r>
        <w:rPr>
          <w:rFonts w:ascii="Times New Roman" w:cs="Times New Roman" w:eastAsia="Times New Roman" w:hAnsi="Times New Roman"/>
          <w:sz w:val="18"/>
          <w:szCs w:val="18"/>
          <w:color w:val="auto"/>
        </w:rPr>
        <w:t>As an advisory approval, this proposal is not binding upon us or our Board of Directors. However, the Compensation Committee, which is responsible for the design and administration of our executive compensation program, values the opinions of our stockholders expressed through your vote on this proposal. The Board and Compensation Committee will consider the outcome of this vote in making future compensation decisions for our Named Executive Officers. Accordingly, we ask our stockholders to vote “FOR” the following resolution at the annual meeting:</w:t>
      </w:r>
    </w:p>
    <w:p>
      <w:pPr>
        <w:spacing w:after="0" w:line="181" w:lineRule="exact"/>
        <w:rPr>
          <w:sz w:val="20"/>
          <w:szCs w:val="20"/>
          <w:color w:val="auto"/>
        </w:rPr>
      </w:pPr>
    </w:p>
    <w:p>
      <w:pPr>
        <w:ind w:right="60" w:firstLine="427"/>
        <w:spacing w:after="0" w:line="262" w:lineRule="auto"/>
        <w:rPr>
          <w:sz w:val="20"/>
          <w:szCs w:val="20"/>
          <w:color w:val="auto"/>
        </w:rPr>
      </w:pPr>
      <w:r>
        <w:rPr>
          <w:rFonts w:ascii="Times New Roman" w:cs="Times New Roman" w:eastAsia="Times New Roman" w:hAnsi="Times New Roman"/>
          <w:sz w:val="18"/>
          <w:szCs w:val="18"/>
          <w:color w:val="auto"/>
        </w:rPr>
        <w:t>“RESOLVED, that the stockholders of Puma Biotechnology, Inc. approve, on an advisory basis, the 2025 compensation of Puma Biotechnology, Inc.’s Named Executive Officers as described in the Compensation Discussion &amp; Analysis and disclosed in the Summary Compensation Table and related compensation tables and narrative disclosure set forth in Puma Biotechnology, Inc.’s Proxy Statement for the 2026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0" w:lineRule="exact"/>
        <w:rPr>
          <w:sz w:val="20"/>
          <w:szCs w:val="20"/>
          <w:color w:val="auto"/>
        </w:rPr>
      </w:pPr>
    </w:p>
    <w:p>
      <w:pPr>
        <w:ind w:right="180" w:firstLine="427"/>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OUR BOARD UNANIMOUSLY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RESOLUTION TO APPROVE, ON AN ADVISORY (NON-BINDING) BASIS, THE COMPENSATION OF OUR NAMED EXECUTIVE OFFICERS, AS DISCLOSED IN THE COMPENSATION DISCUSSION AND ANALYSIS, THE ACCOMPANYING COMPENSATION TABLES AND RELATED NARRATIVE DISCLOSURE IN THIS PROXY STATEMENT.</w:t>
      </w:r>
    </w:p>
    <w:p>
      <w:pPr>
        <w:sectPr>
          <w:pgSz w:w="11900" w:h="16838" w:orient="portrait"/>
          <w:cols w:equalWidth="0" w:num="1">
            <w:col w:w="11220"/>
          </w:cols>
          <w:pgMar w:left="320" w:top="121" w:right="359" w:bottom="1001" w:gutter="0" w:footer="0" w:header="0"/>
        </w:sectPr>
      </w:pP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001"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APPROVAL OF EXTENDING THE TERM OF THE AUERBACH WARRANT UNTIL OCTOBER 4, 2028</w:t>
      </w:r>
    </w:p>
    <w:p>
      <w:pPr>
        <w:spacing w:after="0" w:line="201" w:lineRule="exact"/>
        <w:rPr>
          <w:sz w:val="20"/>
          <w:szCs w:val="20"/>
          <w:color w:val="auto"/>
        </w:rPr>
      </w:pPr>
    </w:p>
    <w:p>
      <w:pPr>
        <w:ind w:right="220" w:firstLine="427"/>
        <w:spacing w:after="0" w:line="254" w:lineRule="auto"/>
        <w:rPr>
          <w:sz w:val="20"/>
          <w:szCs w:val="20"/>
          <w:color w:val="auto"/>
        </w:rPr>
      </w:pPr>
      <w:r>
        <w:rPr>
          <w:rFonts w:ascii="Times New Roman" w:cs="Times New Roman" w:eastAsia="Times New Roman" w:hAnsi="Times New Roman"/>
          <w:sz w:val="18"/>
          <w:szCs w:val="18"/>
          <w:color w:val="auto"/>
        </w:rPr>
        <w:t>The Board of Directors is submitting for stockholder approval a second amendment (the “Auerbach Warrant Amendment”) to a warrant previously issued, on October 4, 2011, to Alan Auerbach, our President and Chief Executive Officer, to purchase 2,116,250 shares of our common stock at $16.00 per share, as amended by the first amendment on April 1, 2021, which was approved by our stockholders on June 15, 2021 (as amended, the “Auerbach Warrant”). On March 13, 2026, our Compensation Committee approved, and on March 20, 2026, the Board of Directors approved, the Auerbach Warrant Amendment, in each case, subject to approval by our stockholders at the Annual Meeting.</w:t>
      </w:r>
    </w:p>
    <w:p>
      <w:pPr>
        <w:spacing w:after="0" w:line="1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Auerbach Warrant Amendment extends the term of the Auerbach Warrant by two years, to (and including) October 4, 2028 from October 4,</w:t>
      </w:r>
    </w:p>
    <w:p>
      <w:pPr>
        <w:spacing w:after="0" w:line="25"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7"/>
          <w:szCs w:val="17"/>
          <w:color w:val="auto"/>
        </w:rPr>
        <w:t>2026. The Auerbach Warrant is currently underwater, with an exercise price of $16.00 per share. The closing price per share of our common stock on April 13, 2026, the record date, was $7.57. We are asking our stockholders to approve the Auerbach Warrant Amendment because, without the Auerbach Warrant Amendment, the Auerbach Warrant will expire on October 4, 2026. The Compensation Committee and the Board believe it is in the best interests of our stockholders to continue to provide our President and Chief Executive Officer with a strong tie to our long-term value creation for our stockholders.</w:t>
      </w:r>
    </w:p>
    <w:p>
      <w:pPr>
        <w:spacing w:after="0" w:line="172" w:lineRule="exact"/>
        <w:rPr>
          <w:sz w:val="20"/>
          <w:szCs w:val="20"/>
          <w:color w:val="auto"/>
        </w:rPr>
      </w:pPr>
    </w:p>
    <w:p>
      <w:pPr>
        <w:ind w:right="60" w:firstLine="427"/>
        <w:spacing w:after="0" w:line="251" w:lineRule="auto"/>
        <w:rPr>
          <w:sz w:val="20"/>
          <w:szCs w:val="20"/>
          <w:color w:val="auto"/>
        </w:rPr>
      </w:pPr>
      <w:r>
        <w:rPr>
          <w:rFonts w:ascii="Times New Roman" w:cs="Times New Roman" w:eastAsia="Times New Roman" w:hAnsi="Times New Roman"/>
          <w:sz w:val="18"/>
          <w:szCs w:val="18"/>
          <w:color w:val="auto"/>
        </w:rPr>
        <w:t>The Auerbach Warrant was issued on October 4, 2011 by Puma Biotechnology, Inc., a privately-held Delaware corporation just prior to it being acquired by the Company in October 2011 (the “Merger”). The Company assumed the Auerbach Warrant in the Merger. The Auerbach Warrant became exercisable in full upon the closing of the Company’s public offering of our common stock on October 24, 2012 (the “2012 Public Offering”), and at that time, the number of shares subject to the Auerbach Warrant was set at 2,116,250 shares, based on the number of shares sufficient to maintain beneficial ownership of 20% of our outstanding shares of common stock as of the closing of our 2012 Public Offering, and the exercise price was set at the 2012 Public Offering price per share of $16.00. The purpose for issuing the Auerbach Warrant was to provide Mr. Auerbach the right to maintain at least 20% ownership of our common stock, when combined with his then-current ownership of our common stock, in recognition of his many contributions to the Company, to encourage his full investment of time and energy to the best interests of the Company, and to provide incentives for stock appreciation and long-term value creation.</w:t>
      </w:r>
    </w:p>
    <w:p>
      <w:pPr>
        <w:spacing w:after="0" w:line="187" w:lineRule="exact"/>
        <w:rPr>
          <w:sz w:val="20"/>
          <w:szCs w:val="20"/>
          <w:color w:val="auto"/>
        </w:rPr>
      </w:pPr>
    </w:p>
    <w:p>
      <w:pPr>
        <w:ind w:right="340" w:firstLine="427"/>
        <w:spacing w:after="0" w:line="277" w:lineRule="auto"/>
        <w:rPr>
          <w:sz w:val="20"/>
          <w:szCs w:val="20"/>
          <w:color w:val="auto"/>
        </w:rPr>
      </w:pPr>
      <w:r>
        <w:rPr>
          <w:rFonts w:ascii="Times New Roman" w:cs="Times New Roman" w:eastAsia="Times New Roman" w:hAnsi="Times New Roman"/>
          <w:sz w:val="18"/>
          <w:szCs w:val="18"/>
          <w:color w:val="auto"/>
        </w:rPr>
        <w:t>The Auerbach Warrant was first amended by our Board on April 1, 2021 and approved by stockholders on June 15, 2021 to extend the term by five years from October 4, 2021 to (and including) October 4, 2026.</w:t>
      </w:r>
    </w:p>
    <w:p>
      <w:pPr>
        <w:spacing w:after="0" w:line="163" w:lineRule="exact"/>
        <w:rPr>
          <w:sz w:val="20"/>
          <w:szCs w:val="20"/>
          <w:color w:val="auto"/>
        </w:rPr>
      </w:pPr>
    </w:p>
    <w:p>
      <w:pPr>
        <w:ind w:right="220" w:firstLine="427"/>
        <w:spacing w:after="0" w:line="262" w:lineRule="auto"/>
        <w:rPr>
          <w:sz w:val="20"/>
          <w:szCs w:val="20"/>
          <w:color w:val="auto"/>
        </w:rPr>
      </w:pPr>
      <w:r>
        <w:rPr>
          <w:rFonts w:ascii="Times New Roman" w:cs="Times New Roman" w:eastAsia="Times New Roman" w:hAnsi="Times New Roman"/>
          <w:sz w:val="18"/>
          <w:szCs w:val="18"/>
          <w:color w:val="auto"/>
        </w:rPr>
        <w:t>Based on the number of shares of our common stock outstanding as of March 20, 2026, the date on which the Board approved the Auerbach Warrant Amendment, Mr. Auerbach’s beneficial ownership including the Auerbach Warrant was approximately 19.6%, and without the Auerbach Warrant his beneficial ownership would be approximately 16.3%.</w:t>
      </w:r>
    </w:p>
    <w:p>
      <w:pPr>
        <w:spacing w:after="0" w:line="176" w:lineRule="exact"/>
        <w:rPr>
          <w:sz w:val="20"/>
          <w:szCs w:val="20"/>
          <w:color w:val="auto"/>
        </w:rPr>
      </w:pPr>
    </w:p>
    <w:p>
      <w:pPr>
        <w:ind w:firstLine="427"/>
        <w:spacing w:after="0" w:line="250" w:lineRule="auto"/>
        <w:rPr>
          <w:sz w:val="20"/>
          <w:szCs w:val="20"/>
          <w:color w:val="auto"/>
        </w:rPr>
      </w:pPr>
      <w:r>
        <w:rPr>
          <w:rFonts w:ascii="Times New Roman" w:cs="Times New Roman" w:eastAsia="Times New Roman" w:hAnsi="Times New Roman"/>
          <w:sz w:val="18"/>
          <w:szCs w:val="18"/>
          <w:color w:val="auto"/>
        </w:rPr>
        <w:t>The Board believes that it is important for Mr. Auerbach to continue to have the right to maintain a significant ownership interest in the Company to best align his interests with that of our stockholders and long-term value creation. The Board also believes that the Auerbach Warrant provides a valuable incentive to increase the Company’s stock price. As of the date on which the Board approved the Auerbach Warrant Amendment, the fair market value of our common stock $6.12 was below the $16.00 per share exercise price of the Auerbach Warrant. As such, the Board believes that an original intent of the Auerbach Warrant — to encourage a large investment position in the Company — was not able to be captured. Accordingly, the Board determined that, in recognition of and in consideration for Mr. Auerbach’s past service to the Company, extending the term of the Auerbach Warrant for two years until October 4, 2028 will allow him the ability to realize the potential value of the award and will provide an incentive for long-term value creation. The stock options held by Mr. Auerbach that are scheduled to expire prior to October 2028 have exercise prices in excess of $35.00 per share. Based on information available at the time of Board approval, the extension of the term of the Auerbach Warrant to October 4, 2028 is expected to result in an estimated non-cash, stock-based compensation expense of approximately $2.9 million at the time of modification; however, the actual stock-based compensation expense will not be determinable until and unless this Proposal 4 is approved by our stockholders.</w:t>
      </w:r>
    </w:p>
    <w:p>
      <w:pPr>
        <w:spacing w:after="0" w:line="190" w:lineRule="exact"/>
        <w:rPr>
          <w:sz w:val="20"/>
          <w:szCs w:val="20"/>
          <w:color w:val="auto"/>
        </w:rPr>
      </w:pPr>
    </w:p>
    <w:p>
      <w:pPr>
        <w:ind w:right="160" w:firstLine="427"/>
        <w:spacing w:after="0" w:line="257" w:lineRule="auto"/>
        <w:rPr>
          <w:sz w:val="20"/>
          <w:szCs w:val="20"/>
          <w:color w:val="auto"/>
        </w:rPr>
      </w:pPr>
      <w:r>
        <w:rPr>
          <w:rFonts w:ascii="Times New Roman" w:cs="Times New Roman" w:eastAsia="Times New Roman" w:hAnsi="Times New Roman"/>
          <w:sz w:val="18"/>
          <w:szCs w:val="18"/>
          <w:color w:val="auto"/>
        </w:rPr>
        <w:t>The Auerbach Warrant was not issued under the terms of a broad-based equity or other incentive award plan, and is exercisable by delivery of cash or via cashless exercise. Mr. Auerbach has not exercised any portion of the Auerbach Warrant to date; the Auerbach Warrant remains exercisable in full for 2,116,250 shares of our common stock. The Auerbach Warrant may be terminated or amended upon written consent of Mr. Auerbach and us and is transferrable in whole subject to compliance with all applicable laws, including federal and state securities laws.</w:t>
      </w:r>
    </w:p>
    <w:p>
      <w:pPr>
        <w:spacing w:after="0" w:line="181" w:lineRule="exact"/>
        <w:rPr>
          <w:sz w:val="20"/>
          <w:szCs w:val="20"/>
          <w:color w:val="auto"/>
        </w:rPr>
      </w:pPr>
    </w:p>
    <w:p>
      <w:pPr>
        <w:jc w:val="both"/>
        <w:ind w:right="80" w:firstLine="427"/>
        <w:spacing w:after="0" w:line="262" w:lineRule="auto"/>
        <w:rPr>
          <w:sz w:val="20"/>
          <w:szCs w:val="20"/>
          <w:color w:val="auto"/>
        </w:rPr>
      </w:pPr>
      <w:r>
        <w:rPr>
          <w:rFonts w:ascii="Times New Roman" w:cs="Times New Roman" w:eastAsia="Times New Roman" w:hAnsi="Times New Roman"/>
          <w:sz w:val="18"/>
          <w:szCs w:val="18"/>
          <w:color w:val="auto"/>
        </w:rPr>
        <w:t>Except for the Auerbach Warrant, no other warrants to purchase shares of our common stock are outstanding. The Auerbach Warrant is the only equity instrument affected by this proposal or the Auerbach Warrant Amendment. Other than Mr. Auerbach, no other individual may receive amounts or benefits in connection with the Auerbach Warrant or the Auerbach Warrant Amendment.</w:t>
      </w:r>
    </w:p>
    <w:p>
      <w:pPr>
        <w:spacing w:after="0" w:line="176" w:lineRule="exact"/>
        <w:rPr>
          <w:sz w:val="20"/>
          <w:szCs w:val="20"/>
          <w:color w:val="auto"/>
        </w:rPr>
      </w:pPr>
    </w:p>
    <w:p>
      <w:pPr>
        <w:ind w:firstLine="427"/>
        <w:spacing w:after="0" w:line="257" w:lineRule="auto"/>
        <w:rPr>
          <w:sz w:val="20"/>
          <w:szCs w:val="20"/>
          <w:color w:val="auto"/>
        </w:rPr>
      </w:pPr>
      <w:r>
        <w:rPr>
          <w:rFonts w:ascii="Times New Roman" w:cs="Times New Roman" w:eastAsia="Times New Roman" w:hAnsi="Times New Roman"/>
          <w:sz w:val="18"/>
          <w:szCs w:val="18"/>
          <w:color w:val="auto"/>
        </w:rPr>
        <w:t>If our stockholders do not approve this Proposal 4, the Auerbach Warrant’s term will not be extended, and the Auerbach Warrant will expire in accordance with its terms, as previously amended, on October 4, 2026 (if not exercised on or prior to such date). The summaries of the Auerbach Warrant and the Auerbach Warrant Amendment are qualified in their entirety by reference to the actual Auerbach Warrant and the Auerbach Warrant Amendment, both of which are attached hereto as Appendices A and B, respectively.</w:t>
      </w:r>
    </w:p>
    <w:p>
      <w:pPr>
        <w:sectPr>
          <w:pgSz w:w="11900" w:h="16838" w:orient="portrait"/>
          <w:cols w:equalWidth="0" w:num="1">
            <w:col w:w="11240"/>
          </w:cols>
          <w:pgMar w:left="320" w:top="121"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Plan Benefits</w:t>
      </w:r>
    </w:p>
    <w:p>
      <w:pPr>
        <w:spacing w:after="0" w:line="224" w:lineRule="exact"/>
        <w:rPr>
          <w:sz w:val="20"/>
          <w:szCs w:val="20"/>
          <w:color w:val="auto"/>
        </w:rPr>
      </w:pPr>
    </w:p>
    <w:p>
      <w:pPr>
        <w:ind w:right="160" w:firstLine="427"/>
        <w:spacing w:after="0" w:line="257" w:lineRule="auto"/>
        <w:rPr>
          <w:sz w:val="20"/>
          <w:szCs w:val="20"/>
          <w:color w:val="auto"/>
        </w:rPr>
      </w:pPr>
      <w:r>
        <w:rPr>
          <w:rFonts w:ascii="Times New Roman" w:cs="Times New Roman" w:eastAsia="Times New Roman" w:hAnsi="Times New Roman"/>
          <w:sz w:val="18"/>
          <w:szCs w:val="18"/>
          <w:color w:val="auto"/>
        </w:rPr>
        <w:t>The following table sets forth the number of shares of our common stock subject to outstanding warrants held by our executive officers, directors and employees as of April 13, 2026. The price per share of our common stock as of such date was $7.57. With the exception of Mr. Auerbach, none of our executive officers, directors, director nominees, associates, employees or any other person has received or will receive any warrants and/or any benefits pursuant to the Auerbach Warrant and the Auerbach Warrant Amendment.</w:t>
      </w:r>
    </w:p>
    <w:p>
      <w:pPr>
        <w:sectPr>
          <w:pgSz w:w="11900" w:h="16838" w:orient="portrait"/>
          <w:cols w:equalWidth="0" w:num="1">
            <w:col w:w="11220"/>
          </w:cols>
          <w:pgMar w:left="320" w:top="121" w:right="359" w:bottom="1440" w:gutter="0" w:footer="0" w:header="0"/>
        </w:sectPr>
      </w:pPr>
    </w:p>
    <w:p>
      <w:pPr>
        <w:spacing w:after="0" w:line="28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Name / Category of Individuals</w:t>
      </w:r>
    </w:p>
    <w:p>
      <w:pPr>
        <w:spacing w:after="0" w:line="13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-127635</wp:posOffset>
            </wp:positionV>
            <wp:extent cx="4990465" cy="144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0465" cy="144145"/>
                    </a:xfrm>
                    <a:prstGeom prst="rect">
                      <a:avLst/>
                    </a:prstGeom>
                    <a:noFill/>
                  </pic:spPr>
                </pic:pic>
              </a:graphicData>
            </a:graphic>
          </wp:anchor>
        </w:drawing>
      </w:r>
    </w:p>
    <w:p>
      <w:pPr>
        <w:spacing w:after="0" w:line="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Alan H. Auerbach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3810</wp:posOffset>
            </wp:positionV>
            <wp:extent cx="4990465" cy="135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0465" cy="13525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Maximo F. Nougues</w:t>
      </w:r>
    </w:p>
    <w:p>
      <w:pPr>
        <w:spacing w:after="0" w:line="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Jeff J. Ludwig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3810</wp:posOffset>
            </wp:positionV>
            <wp:extent cx="4990465" cy="135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0465" cy="13525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Douglas Hunt</w:t>
      </w:r>
    </w:p>
    <w:p>
      <w:pPr>
        <w:spacing w:after="0" w:line="20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All current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-119380</wp:posOffset>
            </wp:positionV>
            <wp:extent cx="4990465" cy="135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90465" cy="135255"/>
                    </a:xfrm>
                    <a:prstGeom prst="rect">
                      <a:avLst/>
                    </a:prstGeom>
                    <a:noFill/>
                  </pic:spPr>
                </pic:pic>
              </a:graphicData>
            </a:graphic>
          </wp:anchor>
        </w:drawing>
      </w:r>
    </w:p>
    <w:p>
      <w:pPr>
        <w:spacing w:after="0" w:line="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All non-executive officer directors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3810</wp:posOffset>
            </wp:positionV>
            <wp:extent cx="4990465" cy="135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0465" cy="13525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i w:val="1"/>
          <w:iCs w:val="1"/>
          <w:color w:val="auto"/>
        </w:rPr>
        <w:t>Current Director Nominees</w:t>
      </w:r>
      <w:r>
        <w:rPr>
          <w:rFonts w:ascii="Times New Roman" w:cs="Times New Roman" w:eastAsia="Times New Roman" w:hAnsi="Times New Roman"/>
          <w:sz w:val="18"/>
          <w:szCs w:val="18"/>
          <w:color w:val="auto"/>
        </w:rPr>
        <w:t>:</w:t>
      </w:r>
    </w:p>
    <w:p>
      <w:pPr>
        <w:spacing w:after="0" w:line="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Alan H. Auerbach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3810</wp:posOffset>
            </wp:positionV>
            <wp:extent cx="4990465" cy="135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90465" cy="13525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Alessandra Cesano, M.D., Ph.D.</w:t>
      </w:r>
    </w:p>
    <w:p>
      <w:pPr>
        <w:spacing w:after="0" w:line="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Allison Dorval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3810</wp:posOffset>
            </wp:positionV>
            <wp:extent cx="4990465" cy="135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90465" cy="13525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Michael P. Miller</w:t>
      </w:r>
    </w:p>
    <w:p>
      <w:pPr>
        <w:spacing w:after="0" w:line="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Jay M. Moyes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3810</wp:posOffset>
            </wp:positionV>
            <wp:extent cx="4990465" cy="135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90465" cy="13525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Adrian M. Senderowicz, M.D.</w:t>
      </w:r>
    </w:p>
    <w:p>
      <w:pPr>
        <w:spacing w:after="0" w:line="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Brian Stuglik, R.Ph.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3810</wp:posOffset>
            </wp:positionV>
            <wp:extent cx="4990465" cy="135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90465" cy="13525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Troy E. Wilson, Ph.D., J.D.</w:t>
      </w:r>
    </w:p>
    <w:p>
      <w:pPr>
        <w:spacing w:after="0" w:line="6" w:lineRule="exact"/>
        <w:rPr>
          <w:sz w:val="20"/>
          <w:szCs w:val="20"/>
          <w:color w:val="auto"/>
        </w:rPr>
      </w:pPr>
    </w:p>
    <w:p>
      <w:pPr>
        <w:ind w:left="1700" w:right="1060"/>
        <w:spacing w:after="0" w:line="247" w:lineRule="auto"/>
        <w:rPr>
          <w:sz w:val="20"/>
          <w:szCs w:val="20"/>
          <w:color w:val="auto"/>
        </w:rPr>
      </w:pPr>
      <w:r>
        <w:rPr>
          <w:rFonts w:ascii="Times New Roman" w:cs="Times New Roman" w:eastAsia="Times New Roman" w:hAnsi="Times New Roman"/>
          <w:sz w:val="18"/>
          <w:szCs w:val="18"/>
          <w:color w:val="auto"/>
        </w:rPr>
        <w:t>Each associate of any such directors, executive officers 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0</wp:posOffset>
            </wp:positionV>
            <wp:extent cx="4990465" cy="271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90465" cy="271145"/>
                    </a:xfrm>
                    <a:prstGeom prst="rect">
                      <a:avLst/>
                    </a:prstGeom>
                    <a:noFill/>
                  </pic:spPr>
                </pic:pic>
              </a:graphicData>
            </a:graphic>
          </wp:anchor>
        </w:drawing>
      </w:r>
    </w:p>
    <w:p>
      <w:pPr>
        <w:ind w:left="1700" w:right="860"/>
        <w:spacing w:after="0" w:line="247" w:lineRule="auto"/>
        <w:rPr>
          <w:sz w:val="20"/>
          <w:szCs w:val="20"/>
          <w:color w:val="auto"/>
        </w:rPr>
      </w:pPr>
      <w:r>
        <w:rPr>
          <w:rFonts w:ascii="Times New Roman" w:cs="Times New Roman" w:eastAsia="Times New Roman" w:hAnsi="Times New Roman"/>
          <w:sz w:val="18"/>
          <w:szCs w:val="18"/>
          <w:color w:val="auto"/>
        </w:rPr>
        <w:t>Each other person who received or are to receive 5% of such options or rights</w:t>
      </w:r>
    </w:p>
    <w:p>
      <w:pPr>
        <w:spacing w:after="0" w:line="1" w:lineRule="exact"/>
        <w:rPr>
          <w:sz w:val="20"/>
          <w:szCs w:val="20"/>
          <w:color w:val="auto"/>
        </w:rPr>
      </w:pPr>
    </w:p>
    <w:p>
      <w:pPr>
        <w:ind w:left="1700" w:right="440"/>
        <w:spacing w:after="0" w:line="255" w:lineRule="auto"/>
        <w:rPr>
          <w:sz w:val="20"/>
          <w:szCs w:val="20"/>
          <w:color w:val="auto"/>
        </w:rPr>
      </w:pPr>
      <w:r>
        <w:rPr>
          <w:rFonts w:ascii="Times New Roman" w:cs="Times New Roman" w:eastAsia="Times New Roman" w:hAnsi="Times New Roman"/>
          <w:sz w:val="18"/>
          <w:szCs w:val="18"/>
          <w:color w:val="auto"/>
        </w:rPr>
        <w:t>All employees, including all current officers who are not executive officers, as a group</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Number of Shares</w:t>
      </w:r>
    </w:p>
    <w:p>
      <w:pPr>
        <w:spacing w:after="0" w:line="29"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7"/>
          <w:szCs w:val="17"/>
          <w:b w:val="1"/>
          <w:bCs w:val="1"/>
          <w:color w:val="auto"/>
        </w:rPr>
        <w:t>Underlying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2369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2,116,250</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2,116,250</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27" w:lineRule="exact"/>
        <w:rPr>
          <w:sz w:val="20"/>
          <w:szCs w:val="20"/>
          <w:color w:val="auto"/>
        </w:rPr>
      </w:pPr>
    </w:p>
    <w:p>
      <w:pPr>
        <w:sectPr>
          <w:pgSz w:w="11900" w:h="16838" w:orient="portrait"/>
          <w:cols w:equalWidth="0" w:num="2">
            <w:col w:w="6880" w:space="720"/>
            <w:col w:w="3620"/>
          </w:cols>
          <w:pgMar w:left="320" w:top="121" w:right="35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8"/>
          <w:szCs w:val="18"/>
          <w:color w:val="auto"/>
        </w:rPr>
        <w:t>(1) The information for Mr. Auerbach, who is standing for reelection at the Annual Meeting, is set forth above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4" w:lineRule="exact"/>
        <w:rPr>
          <w:sz w:val="20"/>
          <w:szCs w:val="20"/>
          <w:color w:val="auto"/>
        </w:rPr>
      </w:pPr>
    </w:p>
    <w:p>
      <w:pPr>
        <w:ind w:right="40" w:firstLine="427"/>
        <w:spacing w:after="0" w:line="257" w:lineRule="auto"/>
        <w:rPr>
          <w:sz w:val="20"/>
          <w:szCs w:val="20"/>
          <w:color w:val="auto"/>
        </w:rPr>
      </w:pPr>
      <w:r>
        <w:rPr>
          <w:rFonts w:ascii="Times New Roman" w:cs="Times New Roman" w:eastAsia="Times New Roman" w:hAnsi="Times New Roman"/>
          <w:sz w:val="18"/>
          <w:szCs w:val="18"/>
          <w:color w:val="auto"/>
        </w:rPr>
        <w:t>The following is a general summary under current law of the principal United States federal income tax consequences related to the Auerbach Warrant. This summary deals with the general federal income tax principles that apply and is provided only for general information. Some kinds of taxes, such as state, local and foreign income taxes and federal employment taxes, are not discussed. This summary is not intended as tax advice to Mr. Auerbach or any other individual, each of whom should consult his or her own tax advisors.</w:t>
      </w:r>
    </w:p>
    <w:p>
      <w:pPr>
        <w:spacing w:after="0" w:line="181" w:lineRule="exact"/>
        <w:rPr>
          <w:sz w:val="20"/>
          <w:szCs w:val="20"/>
          <w:color w:val="auto"/>
        </w:rPr>
      </w:pPr>
    </w:p>
    <w:p>
      <w:pPr>
        <w:jc w:val="both"/>
        <w:ind w:right="100" w:firstLine="427"/>
        <w:spacing w:after="0" w:line="253" w:lineRule="auto"/>
        <w:rPr>
          <w:sz w:val="20"/>
          <w:szCs w:val="20"/>
          <w:color w:val="auto"/>
        </w:rPr>
      </w:pPr>
      <w:r>
        <w:rPr>
          <w:rFonts w:ascii="Times New Roman" w:cs="Times New Roman" w:eastAsia="Times New Roman" w:hAnsi="Times New Roman"/>
          <w:sz w:val="18"/>
          <w:szCs w:val="18"/>
          <w:color w:val="auto"/>
        </w:rPr>
        <w:t>The warrant holder should not have taxable income on the issuance of the warrant. Generally, the warrant holder should recognize ordinary income at the time of exercise in an amount equal to the fair market value of the shares acquired on the date of exercise, less the exercise price paid for the shares. The warrant holder’s basis in the common stock for purposes of determining gain or loss on a subsequent sale or disposition of such shares generally will be the fair market value of our common stock on the date the warrant holder exercises such warrant. Any subsequent gain or loss will be taxable as a long-term or short-term capital gain or loss. We or our subsidiaries or affiliates generally should be entitled to a federal income tax deduction at the time and for the same amount as the warrant holder recognizes ordinary income.</w:t>
      </w:r>
    </w:p>
    <w:p>
      <w:pPr>
        <w:spacing w:after="0" w:line="185" w:lineRule="exact"/>
        <w:rPr>
          <w:sz w:val="20"/>
          <w:szCs w:val="20"/>
          <w:color w:val="auto"/>
        </w:rPr>
      </w:pPr>
    </w:p>
    <w:p>
      <w:pPr>
        <w:ind w:firstLine="427"/>
        <w:spacing w:after="0" w:line="269" w:lineRule="auto"/>
        <w:rPr>
          <w:sz w:val="20"/>
          <w:szCs w:val="20"/>
          <w:color w:val="auto"/>
        </w:rPr>
      </w:pPr>
      <w:r>
        <w:rPr>
          <w:rFonts w:ascii="Times New Roman" w:cs="Times New Roman" w:eastAsia="Times New Roman" w:hAnsi="Times New Roman"/>
          <w:sz w:val="17"/>
          <w:szCs w:val="17"/>
          <w:color w:val="auto"/>
        </w:rPr>
        <w:t>Certain types of equity awards generally may constitute, or provide for, a deferral of compensation subject to Section 409A of the Code. Unless certain requirements set forth in Section 409A of the Code are met,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the Auerbach Warrant and Auerbach Warrant Amendment are intended to be structured and interpreted in a manner intended to either comply with or be exempt from Section 409A of the Code and the Department of Treasury regulations and other interpretive guidance that may be issued under Section 409A of the Code. To the extent determined necessary or appropriate by the Board, the Auerbach Warrant and Auerbach Warrant Amendment may be amended to further comply with Section 409A of the Code or to exempt the applicable awards from Section 409A of the Code.</w:t>
      </w:r>
    </w:p>
    <w:p>
      <w:pPr>
        <w:spacing w:after="0" w:line="1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Securities Law Matters</w:t>
      </w:r>
    </w:p>
    <w:p>
      <w:pPr>
        <w:spacing w:after="0" w:line="224" w:lineRule="exact"/>
        <w:rPr>
          <w:sz w:val="20"/>
          <w:szCs w:val="20"/>
          <w:color w:val="auto"/>
        </w:rPr>
      </w:pPr>
    </w:p>
    <w:p>
      <w:pPr>
        <w:ind w:right="20" w:firstLine="427"/>
        <w:spacing w:after="0" w:line="277" w:lineRule="auto"/>
        <w:rPr>
          <w:sz w:val="20"/>
          <w:szCs w:val="20"/>
          <w:color w:val="auto"/>
        </w:rPr>
      </w:pPr>
      <w:r>
        <w:rPr>
          <w:rFonts w:ascii="Times New Roman" w:cs="Times New Roman" w:eastAsia="Times New Roman" w:hAnsi="Times New Roman"/>
          <w:sz w:val="18"/>
          <w:szCs w:val="18"/>
          <w:color w:val="auto"/>
        </w:rPr>
        <w:t>The Auerbach Warrant was issued to Mr. Auerbach in a private placement under Section 4(a)(2) of the Securities Act of 1933, as amended, and there is no present plan to register the issuance or resale of the shares underlying the Auerbach Warrant.</w:t>
      </w:r>
    </w:p>
    <w:p>
      <w:pPr>
        <w:spacing w:after="0" w:line="1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0" w:lineRule="exact"/>
        <w:rPr>
          <w:sz w:val="20"/>
          <w:szCs w:val="20"/>
          <w:color w:val="auto"/>
        </w:rPr>
      </w:pPr>
    </w:p>
    <w:p>
      <w:pPr>
        <w:ind w:left="140" w:right="1120"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OUR BOARD UNANIMOUSLY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APPROVAL OF THE AUERBACH WARRANT AMENDMENT.</w:t>
      </w:r>
    </w:p>
    <w:p>
      <w:pPr>
        <w:sectPr>
          <w:pgSz w:w="11900" w:h="16838" w:orient="portrait"/>
          <w:cols w:equalWidth="0" w:num="1">
            <w:col w:w="11220"/>
          </w:cols>
          <w:pgMar w:left="320" w:top="121" w:right="359" w:bottom="1440" w:gutter="0" w:footer="0" w:header="0"/>
          <w:type w:val="continuous"/>
        </w:sectPr>
      </w:pP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Review, Approval or Ratification of Transactions with Related Persons</w:t>
      </w:r>
    </w:p>
    <w:p>
      <w:pPr>
        <w:spacing w:after="0" w:line="224" w:lineRule="exact"/>
        <w:rPr>
          <w:sz w:val="20"/>
          <w:szCs w:val="20"/>
          <w:color w:val="auto"/>
        </w:rPr>
      </w:pPr>
    </w:p>
    <w:p>
      <w:pPr>
        <w:ind w:right="40" w:firstLine="427"/>
        <w:spacing w:after="0" w:line="251" w:lineRule="auto"/>
        <w:rPr>
          <w:sz w:val="20"/>
          <w:szCs w:val="20"/>
          <w:color w:val="auto"/>
        </w:rPr>
      </w:pPr>
      <w:r>
        <w:rPr>
          <w:rFonts w:ascii="Times New Roman" w:cs="Times New Roman" w:eastAsia="Times New Roman" w:hAnsi="Times New Roman"/>
          <w:sz w:val="18"/>
          <w:szCs w:val="18"/>
          <w:color w:val="auto"/>
        </w:rPr>
        <w:t>Under our written Related Party Transactions Policy and Procedures, a related party transaction (as defined below) may be consummated or may continue only if the independent members of our Board approve or ratify the transaction in accordance with the guidelines set forth in the policy and if the transaction is on terms comparable to those that could be obtained in arm’s length dealings with an unrelated third party. If advance Audit Committee approval of a related party transaction requiring the independent directors’ approval is not practicable, a related party transaction may be preliminarily entered into by management upon prior approval by the chair of the Audit Committee, and the transaction is subject to ratification by the independent directors provided that, if ratification is not forthcoming, management shall make all reasonable efforts to cancel or annul such transaction. Management shall update the independent directors as to any material changes to any approved or ratified related party transaction and shall provide a status report at least annually at a regularly scheduled meeting of the Board of all then current related party transactions.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purposes of our policy, a “related party transaction” is a transaction, arrangement or relationship (or any series of similar transactions,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arrangements or relationships) in which the Company (including any of its subsidiaries) was, is or will be a participant and the amount involved exceeds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$120,000, and in which any related party (as defined below) had, has or will have a direct or indirect interest. A “related party” includes (i) any person who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 or at any time since the beginning of the Company’s last fiscal year was, a director or executive officer of the Company or a nominee to become a director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 (ii) any person who is known to be the beneficial owner of more than 5% of any class of the Company’s voting securities; (iii)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 family member of any of the foregoing persons, which means any child, stepchild, parent, stepparent, spouse, sibling, mother-in-law, father-in-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law, son-in-law, daughter-in-law, brother-in-law, or sister-in-law of the director, executive officer, nominee or more than 5% beneficial owner, and any person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a tenant or employee) sharing the household of such director, executive officer, nominee or more than 5% beneficial owner; and (iv) any firm,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or other entity in which any of the foregoing persons is employed or is a general partner or principal or in a similar position or in which such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has a 5% or greater beneficial ownership interest.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w:t>
      </w:r>
    </w:p>
    <w:p>
      <w:pPr>
        <w:spacing w:after="0" w:line="222" w:lineRule="exact"/>
        <w:rPr>
          <w:sz w:val="20"/>
          <w:szCs w:val="20"/>
          <w:color w:val="auto"/>
        </w:rPr>
      </w:pPr>
    </w:p>
    <w:p>
      <w:pPr>
        <w:ind w:right="80" w:firstLine="427"/>
        <w:spacing w:after="0" w:line="255" w:lineRule="auto"/>
        <w:rPr>
          <w:sz w:val="20"/>
          <w:szCs w:val="20"/>
          <w:color w:val="auto"/>
        </w:rPr>
      </w:pPr>
      <w:r>
        <w:rPr>
          <w:rFonts w:ascii="Times New Roman" w:cs="Times New Roman" w:eastAsia="Times New Roman" w:hAnsi="Times New Roman"/>
          <w:sz w:val="18"/>
          <w:szCs w:val="18"/>
          <w:i w:val="1"/>
          <w:iCs w:val="1"/>
          <w:color w:val="auto"/>
        </w:rPr>
        <w:t>Proposals Pursuant to Rule 14a-8</w:t>
      </w:r>
      <w:r>
        <w:rPr>
          <w:rFonts w:ascii="Times New Roman" w:cs="Times New Roman" w:eastAsia="Times New Roman" w:hAnsi="Times New Roman"/>
          <w:sz w:val="18"/>
          <w:szCs w:val="18"/>
          <w:color w:val="auto"/>
        </w:rPr>
        <w:t>. Pursuant to Rule 14a-8 under the Exchange Act, stockholders may present proper proposals for inclusion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 and for consideration at our next annual meeting of stockholders. To be eligible for inclusion in the 2027 proxy statement, your proposal must be received by us no later than December 29, 2026 and must otherwise comply with Rule 14a-8. While our Board will consider stockholder proposals, we reserve the right to omit from the proxy statement stockholder proposals that we are not required to include under the Exchange Act, including Rule 14a-8.</w:t>
      </w:r>
    </w:p>
    <w:p>
      <w:pPr>
        <w:spacing w:after="0" w:line="181" w:lineRule="exact"/>
        <w:rPr>
          <w:sz w:val="20"/>
          <w:szCs w:val="20"/>
          <w:color w:val="auto"/>
        </w:rPr>
      </w:pPr>
    </w:p>
    <w:p>
      <w:pPr>
        <w:ind w:right="20" w:firstLine="427"/>
        <w:spacing w:after="0" w:line="250" w:lineRule="auto"/>
        <w:rPr>
          <w:sz w:val="20"/>
          <w:szCs w:val="20"/>
          <w:color w:val="auto"/>
        </w:rPr>
      </w:pPr>
      <w:r>
        <w:rPr>
          <w:rFonts w:ascii="Times New Roman" w:cs="Times New Roman" w:eastAsia="Times New Roman" w:hAnsi="Times New Roman"/>
          <w:sz w:val="18"/>
          <w:szCs w:val="18"/>
          <w:i w:val="1"/>
          <w:iCs w:val="1"/>
          <w:color w:val="auto"/>
        </w:rPr>
        <w:t>Proposals and Nominations Pursuant to Our Fifth Amended and Restated Bylaws</w:t>
      </w:r>
      <w:r>
        <w:rPr>
          <w:rFonts w:ascii="Times New Roman" w:cs="Times New Roman" w:eastAsia="Times New Roman" w:hAnsi="Times New Roman"/>
          <w:sz w:val="18"/>
          <w:szCs w:val="18"/>
          <w:color w:val="auto"/>
        </w:rPr>
        <w:t>. Pursuant to our Bylaws and based on the anniversary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annual meeting as currently scheduled, in order to nominate a director or bring any other business before the stockholders at our next annual meeting of stockholders that will not be included in our proxy statement, a stockholder of record must notify us in writing and such notice must be received by us no earlier than February 11, 2027 and no later than March 13, 2027. In the event the annual meeting is convened on a date more than 30 days before or more than 60 days after such anniversary date, such notice must be received no earlier than the 120th day prior to such annual meeting nor later than the 90th day prior to such annual meeting or, if later, the 10th day following the day on which public disclosure of the date of the annual meeting was first made. For proposals not made in accordance with Rule 14a-8, you must comply with specific procedures set forth in our Bylaws and the nomination or proposal must contain the specific information required by our Bylaws. You may write to our Corporate Secretary at our principal executive offices, Puma Biotechnology, Inc., 10880 Wilshire Boulevard, Suite 1700, Los Angeles, CA 90024, Attention: Corporate Secretary, to deliver the notices discussed above and to request a copy of the relevant bylaw provisions regarding the requirements for making stockholder proposals and nominating director candidates under our Bylaws. Please send a copy of all notices and request via email to ir@pumabiotechnology.com.</w:t>
      </w:r>
    </w:p>
    <w:p>
      <w:pPr>
        <w:spacing w:after="0" w:line="190" w:lineRule="exact"/>
        <w:rPr>
          <w:sz w:val="20"/>
          <w:szCs w:val="20"/>
          <w:color w:val="auto"/>
        </w:rPr>
      </w:pPr>
    </w:p>
    <w:p>
      <w:pPr>
        <w:ind w:right="200" w:firstLine="427"/>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Proposals Pursuant to Rule 14a-19. </w:t>
      </w:r>
      <w:r>
        <w:rPr>
          <w:rFonts w:ascii="Times New Roman" w:cs="Times New Roman" w:eastAsia="Times New Roman" w:hAnsi="Times New Roman"/>
          <w:sz w:val="18"/>
          <w:szCs w:val="18"/>
          <w:color w:val="auto"/>
        </w:rPr>
        <w:t>In addition to satisfying the foregoing requirements under our Bylaws, to comply with the universal proxy rules,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who intend to solicit proxies in support of director nominees other than our nominees must provide notice that sets forth the information required by Rule 14a-19 under the Exchange Act no later than April 12, 2027.</w:t>
      </w:r>
    </w:p>
    <w:p>
      <w:pPr>
        <w:spacing w:after="0" w:line="175" w:lineRule="exact"/>
        <w:rPr>
          <w:sz w:val="20"/>
          <w:szCs w:val="20"/>
          <w:color w:val="auto"/>
        </w:rPr>
      </w:pPr>
    </w:p>
    <w:p>
      <w:pPr>
        <w:ind w:right="20" w:firstLine="427"/>
        <w:spacing w:after="0" w:line="262" w:lineRule="auto"/>
        <w:rPr>
          <w:sz w:val="20"/>
          <w:szCs w:val="20"/>
          <w:color w:val="auto"/>
        </w:rPr>
      </w:pPr>
      <w:r>
        <w:rPr>
          <w:rFonts w:ascii="Times New Roman" w:cs="Times New Roman" w:eastAsia="Times New Roman" w:hAnsi="Times New Roman"/>
          <w:sz w:val="18"/>
          <w:szCs w:val="18"/>
          <w:color w:val="auto"/>
        </w:rPr>
        <w:t>We intend to file a Proxy Statement and WHITE proxy card with the SEC in connection with our solicitation of proxies for our 2027 annual meeting of stockholders. Stockholders may obtain our Proxy Statement (and any amendments and supplements thereto) and other documents as and when filed by us with the SEC without charge from the SEC’s website at: https://</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4" w:lineRule="exact"/>
        <w:rPr>
          <w:sz w:val="20"/>
          <w:szCs w:val="20"/>
          <w:color w:val="auto"/>
        </w:rPr>
      </w:pPr>
    </w:p>
    <w:p>
      <w:pPr>
        <w:ind w:firstLine="427"/>
        <w:spacing w:after="0" w:line="250"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banks and brokers) to satisfy the delivery requirements for notices of annual meetings,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 This year, a single notice of the annual meeting of stockholders, or copy of the proxy statement and annual report, will be delivered to multiple stockholders sharing an address unless contrary instructions have been received from the affected stockholders. Once you have received notice from your bank or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 bank or broker, direct your written request to Puma Biotechnology, Inc., 10880 Wilshire Boulevard, Suite 1700, Los Angeles, CA 90024, Attention: Investor Relations, or contact Investor Relations by telephone at (424) 248-6500. Stockholders who currently receive multiple copies of the proxy statement at their address and would like to request householding of their communications should contact their bank or broker.</w:t>
      </w:r>
    </w:p>
    <w:p>
      <w:pPr>
        <w:sectPr>
          <w:pgSz w:w="11900" w:h="16838" w:orient="portrait"/>
          <w:cols w:equalWidth="0" w:num="1">
            <w:col w:w="11220"/>
          </w:cols>
          <w:pgMar w:left="320" w:top="121" w:right="359" w:bottom="1440" w:gutter="0" w:footer="0" w:header="0"/>
        </w:sectPr>
      </w:pP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4" w:lineRule="exact"/>
        <w:rPr>
          <w:sz w:val="20"/>
          <w:szCs w:val="20"/>
          <w:color w:val="auto"/>
        </w:rPr>
      </w:pPr>
    </w:p>
    <w:p>
      <w:pPr>
        <w:ind w:firstLine="427"/>
        <w:spacing w:after="0" w:line="254" w:lineRule="auto"/>
        <w:rPr>
          <w:sz w:val="20"/>
          <w:szCs w:val="20"/>
          <w:color w:val="auto"/>
        </w:rPr>
      </w:pPr>
      <w:r>
        <w:rPr>
          <w:rFonts w:ascii="Times New Roman" w:cs="Times New Roman" w:eastAsia="Times New Roman" w:hAnsi="Times New Roman"/>
          <w:sz w:val="18"/>
          <w:szCs w:val="18"/>
          <w:color w:val="auto"/>
        </w:rPr>
        <w:t>Notwithstanding anything to the contrary set forth in any of our previous filings under the Securities Act or the Exchange Act, which might incorporate future filings made by us under those statutes, the Compensation Committee Report, the Audit Committee Report and the Pay-Versus-Performance section will not be incorporated by reference into any of those prior filings, nor will the reports be incorporated by reference into any future filings made by us under those statutes. In addition, information on our website, other than our Annual Report, proxy statement, notice and form of proxy, is not part of the proxy soliciting material and is not incorporated herein by reference.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4" w:lineRule="exact"/>
        <w:rPr>
          <w:sz w:val="20"/>
          <w:szCs w:val="20"/>
          <w:color w:val="auto"/>
        </w:rPr>
      </w:pPr>
    </w:p>
    <w:p>
      <w:pPr>
        <w:ind w:firstLine="427"/>
        <w:spacing w:after="0" w:line="249"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Section 21E of the Securities Exchange Act of 1934, as amended, including, but not limited to, statements related to risks associated with our compensation programs. All forward-looking statements included in this Proxy Statement involve risks and uncertainties that could cause the Company’s actual results to differ materially from the anticipated results and expectations expressed in these forward-looking statements. These statements are based on current expectations, forecasts and assumptions, and actual outcomes and results could differ materially from these statements due to a number of factors, which include, but are not limited to, the Company’s dependence on the commercial success of its product candidates, the Company’s history of operating losses and its expectation that it will continue to incur losses for the foreseeable future; risks and uncertainties related to the Company’s ability to achieve or sustain profitability; the Company’s ability to predict its future prospects and forecast its financial performance and growth; failure to obtain sufficient capital to fund the Company’s operations; the effectiveness of sales and marketing efforts; the Company’s ability to obtain regulatory approval of NERLYNX outside the United States; the Company’s licensees’ ability to obtain FDA approval or other regulatory approvals in the United States or elsewhere for other indications for neratinib or other product candidates; the challenges associated with conducting and enrolling clinical trials; the risk that the results of clinical trials may not support the Company’s drug candidate claims; the Company’s ability to compete against other companies and research institutions; the risk that physicians and patients may not accept or use the Company’s products; the Company’s reliance on third parties to conduct its clinical trials and to formulate and manufacture its drug candidates; risks pertaining to litigation, including the Company’s estimates for damages that it may be required to pay; the protection for its intellectual property; the Company’s ability to attract and retain key personnel; the Company’s dependence on licensed intellectual property; any adverse impact on the Company’s business or the global economy and financial markets, generally; and the other risk factors disclosed in the periodic and current reports filed by the Company with the Securities and Exchange Commission from time to time, including the Company’s Annual Report on Form 10-K for the fiscal year ended December 31, 2025. Readers are cautioned not to place undue reliance on these forward-looking statements, which speak only as of the date hereof. The Company assumes no obligation to update these forward-looking statements, except as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4" w:lineRule="exact"/>
        <w:rPr>
          <w:sz w:val="20"/>
          <w:szCs w:val="20"/>
          <w:color w:val="auto"/>
        </w:rPr>
      </w:pPr>
    </w:p>
    <w:p>
      <w:pPr>
        <w:jc w:val="both"/>
        <w:ind w:right="280" w:firstLine="427"/>
        <w:spacing w:after="0" w:line="262" w:lineRule="auto"/>
        <w:rPr>
          <w:sz w:val="20"/>
          <w:szCs w:val="20"/>
          <w:color w:val="auto"/>
        </w:rPr>
      </w:pPr>
      <w:r>
        <w:rPr>
          <w:rFonts w:ascii="Times New Roman" w:cs="Times New Roman" w:eastAsia="Times New Roman" w:hAnsi="Times New Roman"/>
          <w:sz w:val="18"/>
          <w:szCs w:val="18"/>
          <w:color w:val="auto"/>
        </w:rPr>
        <w:t>As of the date of this proxy statement, the Board knows of no other business that will be presented for consideration at the 2026 annual meeting. If other proper matters are presented at the 2026 annual meeting, however, it is the intention of the proxy holders named in the Company’s form of proxy to vote the proxies held by them in accordance with their best judgment.</w:t>
      </w:r>
    </w:p>
    <w:p>
      <w:pPr>
        <w:spacing w:after="0" w:line="39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15875</wp:posOffset>
            </wp:positionV>
            <wp:extent cx="1270635" cy="2457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635" cy="245745"/>
                    </a:xfrm>
                    <a:prstGeom prst="rect">
                      <a:avLst/>
                    </a:prstGeom>
                    <a:noFill/>
                  </pic:spPr>
                </pic:pic>
              </a:graphicData>
            </a:graphic>
          </wp:anchor>
        </w:drawing>
      </w:r>
    </w:p>
    <w:p>
      <w:pPr>
        <w:spacing w:after="0" w:line="38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Alan H. Auerbach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-127635</wp:posOffset>
            </wp:positionV>
            <wp:extent cx="25673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67305" cy="8255"/>
                    </a:xfrm>
                    <a:prstGeom prst="rect">
                      <a:avLst/>
                    </a:prstGeom>
                    <a:noFill/>
                  </pic:spPr>
                </pic:pic>
              </a:graphicData>
            </a:graphic>
          </wp:anchor>
        </w:drawing>
      </w:r>
    </w:p>
    <w:p>
      <w:pPr>
        <w:spacing w:after="0" w:line="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Chairman, President, Chief Executive Officer and</w:t>
      </w:r>
    </w:p>
    <w:p>
      <w:pPr>
        <w:spacing w:after="0" w:line="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THIS WARRANT AND THE UNDERLYING SECURITIES HAVE NOT BEEN REGISTERED UNDER THE SECURITIES ACT OF 1933,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NO TRANSFER, SALE, ASSIGNMENT, PLEDGE, HYPOTHECATION OR OTHER DISPOSITION OF THE</w:t>
      </w:r>
    </w:p>
    <w:p>
      <w:pPr>
        <w:spacing w:after="0" w:line="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WARRANT REPRESENTED BY THIS CERTIFICATE OR THE UNDERLYING SECURITIES MAY BE MADE EXCEPT (A) PURSUANT TO AN EFFECTIVE REGISTRATION STATEMENT UNDER THE ACT, AND THE RULES AND REGULATIONS IN EFFECT THEREUNDER AND ALL APPLICABLE STATE SECURITIES OR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BLUE SKY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LAWS (SUCH FEDERAL AND STATE LAWS,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SECURITIES LAWS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OR (B) IF THE CORPORATION HAS BEEN FURNISHED WITH AN OPINION OF COUNSEL FOR THE HOLDER, WHICH OPINION AND COUNSEL SHALL BE REASONABLY SATISFACTORY TO THE CORPORATION, TO THE EFFECT THAT SUCH TRANSFER, SALE, ASSIGNMENT, PLEDGE, HYPOTHECATION OR OTHER DISPOSITION IS EXEMPT FROM THE PROVISIONS OF THE SECURITIES LAWS.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PUMA BIOTECHNOLOGY,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SHARES OF COMMON STOCK</w:t>
      </w:r>
    </w:p>
    <w:p>
      <w:pPr>
        <w:spacing w:after="0" w:line="220" w:lineRule="exact"/>
        <w:rPr>
          <w:sz w:val="20"/>
          <w:szCs w:val="20"/>
          <w:color w:val="auto"/>
        </w:rPr>
      </w:pPr>
    </w:p>
    <w:p>
      <w:pPr>
        <w:spacing w:after="0"/>
        <w:tabs>
          <w:tab w:leader="none" w:pos="9480" w:val="left"/>
        </w:tabs>
        <w:rPr>
          <w:sz w:val="20"/>
          <w:szCs w:val="20"/>
          <w:color w:val="auto"/>
        </w:rPr>
      </w:pPr>
      <w:r>
        <w:rPr>
          <w:rFonts w:ascii="Times New Roman" w:cs="Times New Roman" w:eastAsia="Times New Roman" w:hAnsi="Times New Roman"/>
          <w:sz w:val="18"/>
          <w:szCs w:val="18"/>
          <w:b w:val="1"/>
          <w:bCs w:val="1"/>
          <w:color w:val="auto"/>
        </w:rPr>
        <w:t>No. CS-B 1</w:t>
      </w:r>
      <w:r>
        <w:rPr>
          <w:sz w:val="20"/>
          <w:szCs w:val="20"/>
          <w:color w:val="auto"/>
        </w:rPr>
        <w:tab/>
      </w:r>
      <w:r>
        <w:rPr>
          <w:rFonts w:ascii="Times New Roman" w:cs="Times New Roman" w:eastAsia="Times New Roman" w:hAnsi="Times New Roman"/>
          <w:sz w:val="17"/>
          <w:szCs w:val="17"/>
          <w:b w:val="1"/>
          <w:bCs w:val="1"/>
          <w:color w:val="auto"/>
        </w:rPr>
        <w:t>Dated: October 4, 2011</w:t>
      </w:r>
    </w:p>
    <w:p>
      <w:pPr>
        <w:spacing w:after="0" w:line="220" w:lineRule="exact"/>
        <w:rPr>
          <w:sz w:val="20"/>
          <w:szCs w:val="20"/>
          <w:color w:val="auto"/>
        </w:rPr>
      </w:pPr>
    </w:p>
    <w:p>
      <w:pPr>
        <w:jc w:val="both"/>
        <w:ind w:firstLine="320"/>
        <w:spacing w:after="0" w:line="258"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ertifies</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hat</w:t>
      </w:r>
      <w:r>
        <w:rPr>
          <w:rFonts w:ascii="Times New Roman" w:cs="Times New Roman" w:eastAsia="Times New Roman" w:hAnsi="Times New Roman"/>
          <w:sz w:val="18"/>
          <w:szCs w:val="18"/>
          <w:color w:val="auto"/>
        </w:rPr>
        <w:t>, for value received,</w:t>
      </w:r>
      <w:r>
        <w:rPr>
          <w:rFonts w:ascii="Times New Roman" w:cs="Times New Roman" w:eastAsia="Times New Roman" w:hAnsi="Times New Roman"/>
          <w:sz w:val="18"/>
          <w:szCs w:val="18"/>
          <w:b w:val="1"/>
          <w:bCs w:val="1"/>
          <w:color w:val="auto"/>
        </w:rPr>
        <w:t xml:space="preserve"> Alan H. Auerbach</w:t>
      </w:r>
      <w:r>
        <w:rPr>
          <w:rFonts w:ascii="Times New Roman" w:cs="Times New Roman" w:eastAsia="Times New Roman" w:hAnsi="Times New Roman"/>
          <w:sz w:val="18"/>
          <w:szCs w:val="18"/>
          <w:color w:val="auto"/>
        </w:rPr>
        <w:t>, with his principal address at 10940 Wilshire Boulevard, Suite 600, Los Angeles, California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90024, or his assigns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is entitled to subscribe for and purchase from </w:t>
      </w:r>
      <w:r>
        <w:rPr>
          <w:rFonts w:ascii="Times New Roman" w:cs="Times New Roman" w:eastAsia="Times New Roman" w:hAnsi="Times New Roman"/>
          <w:sz w:val="18"/>
          <w:szCs w:val="18"/>
          <w:b w:val="1"/>
          <w:bCs w:val="1"/>
          <w:color w:val="auto"/>
        </w:rPr>
        <w:t>Puma Biotechnology,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Warrant Shares (as defined below) at a price per share equal to the Exercise Price (as defined below), on the terms and subject to the conditions contained herein only if a Subsequent Financing occurs.</w:t>
      </w:r>
    </w:p>
    <w:p>
      <w:pPr>
        <w:spacing w:after="0" w:line="177" w:lineRule="exact"/>
        <w:rPr>
          <w:sz w:val="20"/>
          <w:szCs w:val="20"/>
          <w:color w:val="auto"/>
        </w:rPr>
      </w:pPr>
    </w:p>
    <w:p>
      <w:pPr>
        <w:jc w:val="both"/>
        <w:ind w:firstLine="320"/>
        <w:spacing w:after="0" w:line="281" w:lineRule="auto"/>
        <w:rPr>
          <w:sz w:val="20"/>
          <w:szCs w:val="20"/>
          <w:color w:val="auto"/>
        </w:rPr>
      </w:pPr>
      <w:r>
        <w:rPr>
          <w:rFonts w:ascii="Times New Roman" w:cs="Times New Roman" w:eastAsia="Times New Roman" w:hAnsi="Times New Roman"/>
          <w:sz w:val="18"/>
          <w:szCs w:val="18"/>
          <w:color w:val="auto"/>
        </w:rPr>
        <w:t>This warrant (this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is being issued pursuant to that certain Securities Purchase Agreement, dated October 4, 2011, by and among the Company and the persons listed on Schedule I attached thereto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360" w:hanging="353"/>
        <w:spacing w:after="0"/>
        <w:tabs>
          <w:tab w:leader="none" w:pos="3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The following terms, as used herein, have the following meanings:</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 </w:t>
      </w:r>
      <w:r>
        <w:rPr>
          <w:rFonts w:ascii="Times New Roman" w:cs="Times New Roman" w:eastAsia="Times New Roman" w:hAnsi="Times New Roman"/>
          <w:sz w:val="18"/>
          <w:szCs w:val="18"/>
          <w:color w:val="auto"/>
        </w:rPr>
        <w:t>means any sale, assignment, transfer or other disposition of all or substantially all of the assets of the Company, or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reorganization, consolidation, merger, or sale of outstanding equity securities of the Company by the holders thereof, where the holders of the Company’s outstanding voting equity securities as of immediately before such transaction beneficially own less than a majority of the outstanding voting equity securities of the surviving or successor entity as of immediately after such transaction.</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means the common stock, par value $0.0001 per share, of the Company.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“Company Options” </w:t>
      </w:r>
      <w:r>
        <w:rPr>
          <w:rFonts w:ascii="Times New Roman" w:cs="Times New Roman" w:eastAsia="Times New Roman" w:hAnsi="Times New Roman"/>
          <w:sz w:val="17"/>
          <w:szCs w:val="17"/>
          <w:color w:val="auto"/>
        </w:rPr>
        <w:t>means options to acquire shares of the Common Stock that have been issued pursuant to the Company’s 2011 Incentive Award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713422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both"/>
        <w:ind w:right="20" w:firstLine="6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“Convertible Securities” </w:t>
      </w:r>
      <w:r>
        <w:rPr>
          <w:rFonts w:ascii="Times New Roman" w:cs="Times New Roman" w:eastAsia="Times New Roman" w:hAnsi="Times New Roman"/>
          <w:sz w:val="18"/>
          <w:szCs w:val="18"/>
          <w:color w:val="auto"/>
        </w:rPr>
        <w:t>shall mean any bonds, debentures, notes or other evidences of indebtedness, and any warrants, shares or any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convertible into, exercisable for, or exchangeable for Common Stock.</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“Exercise Price” </w:t>
      </w:r>
      <w:r>
        <w:rPr>
          <w:rFonts w:ascii="Times New Roman" w:cs="Times New Roman" w:eastAsia="Times New Roman" w:hAnsi="Times New Roman"/>
          <w:sz w:val="18"/>
          <w:szCs w:val="18"/>
          <w:color w:val="auto"/>
        </w:rPr>
        <w:t>means the price at which a share of Common Stock is sold in the Subsequent Financing or, if Convertible Securities are sold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Subsequent Financing, the per share conversion, exercise or exchange price of such Convertible Security (in each case, as adjusted for any subsequent stock splits, combinations, reorganizations or similar transactions).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“Expiration Date” </w:t>
      </w:r>
      <w:r>
        <w:rPr>
          <w:rFonts w:ascii="Times New Roman" w:cs="Times New Roman" w:eastAsia="Times New Roman" w:hAnsi="Times New Roman"/>
          <w:sz w:val="18"/>
          <w:szCs w:val="18"/>
          <w:color w:val="auto"/>
        </w:rPr>
        <w:t>means the date that is ten (10) years from the date of issuance hereof.</w:t>
      </w:r>
    </w:p>
    <w:p>
      <w:pPr>
        <w:spacing w:after="0" w:line="220"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“Ownership Percentage” </w:t>
      </w:r>
      <w:r>
        <w:rPr>
          <w:rFonts w:ascii="Times New Roman" w:cs="Times New Roman" w:eastAsia="Times New Roman" w:hAnsi="Times New Roman"/>
          <w:sz w:val="18"/>
          <w:szCs w:val="18"/>
          <w:color w:val="auto"/>
        </w:rPr>
        <w:t>shall be calculated, as of any date, by dividing (i) the total number of shares of Common Stock owned by Holder at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(including shares of Common Stock and Convertible Securities sold, transferred or assigned by Holder prior to such date), by (ii) the total number of shares of Common Stock issued and outstanding at such date (including, for purposes of both (i) and (ii) above, any shares issuable upon exercise or conversion of any outstanding Convertible Securities, but excluding outstanding Company Options and any shares that have been issued upon the exercise of Company Options, but further excluding for purposes of (ii) above, all shares of Common Stock and Convertible Securities outstanding at such date to the extent issued by the Company in any transaction closing after the date hereof that would have constituted a Subsequent Financing but for the amount of gross cash proceeds received by the Company in such transaction).</w:t>
      </w:r>
    </w:p>
    <w:p>
      <w:pPr>
        <w:spacing w:after="0" w:line="18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“Subsequent Financing” </w:t>
      </w:r>
      <w:r>
        <w:rPr>
          <w:rFonts w:ascii="Times New Roman" w:cs="Times New Roman" w:eastAsia="Times New Roman" w:hAnsi="Times New Roman"/>
          <w:sz w:val="18"/>
          <w:szCs w:val="18"/>
          <w:color w:val="auto"/>
        </w:rPr>
        <w:t>means the first additional offering of the Company’s securities resulting in gross cash proceeds to the Company of at least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$15 million that closes subsequent to the closings of the Merger (as defined in the Purchase Agreement) and the PIPE (as defined in the Purchase Agreement). For purposes of determining the occurrence of a Subsequent Financing, none of the following issuances shall be considered the issuance or sale of the Company’s securities:</w:t>
      </w:r>
    </w:p>
    <w:p>
      <w:pPr>
        <w:spacing w:after="0" w:line="181" w:lineRule="exact"/>
        <w:rPr>
          <w:sz w:val="20"/>
          <w:szCs w:val="20"/>
          <w:color w:val="auto"/>
        </w:rPr>
      </w:pPr>
    </w:p>
    <w:p>
      <w:pPr>
        <w:ind w:left="1640" w:hanging="512"/>
        <w:spacing w:after="0"/>
        <w:tabs>
          <w:tab w:leader="none" w:pos="1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Common Stock upon the conversion of any then-outstanding Convertible Securities;</w:t>
      </w:r>
    </w:p>
    <w:p>
      <w:pPr>
        <w:spacing w:after="0" w:line="219" w:lineRule="exact"/>
        <w:rPr>
          <w:rFonts w:ascii="Times New Roman" w:cs="Times New Roman" w:eastAsia="Times New Roman" w:hAnsi="Times New Roman"/>
          <w:sz w:val="18"/>
          <w:szCs w:val="18"/>
          <w:color w:val="auto"/>
        </w:rPr>
      </w:pPr>
    </w:p>
    <w:p>
      <w:pPr>
        <w:ind w:left="1640" w:hanging="512"/>
        <w:spacing w:after="0"/>
        <w:tabs>
          <w:tab w:leader="none" w:pos="1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Common Stock or Convertible Securities as a dividend on the Company’s stock;</w:t>
      </w:r>
    </w:p>
    <w:p>
      <w:pPr>
        <w:spacing w:after="0" w:line="219" w:lineRule="exact"/>
        <w:rPr>
          <w:rFonts w:ascii="Times New Roman" w:cs="Times New Roman" w:eastAsia="Times New Roman" w:hAnsi="Times New Roman"/>
          <w:sz w:val="18"/>
          <w:szCs w:val="18"/>
          <w:color w:val="auto"/>
        </w:rPr>
      </w:pPr>
    </w:p>
    <w:p>
      <w:pPr>
        <w:jc w:val="both"/>
        <w:ind w:left="640" w:firstLine="488"/>
        <w:spacing w:after="0" w:line="262" w:lineRule="auto"/>
        <w:tabs>
          <w:tab w:leader="none" w:pos="173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up to 3,529,412 (as adjusted for any subsequent stock splits, combinations, reorganizations or similar transactions ) shares of Common Stock (or options to purchase shares of Common Stock) to employees, directors or consultants of the Company under the Company’s 2011 Incentive Award Plan; and</w:t>
      </w:r>
    </w:p>
    <w:p>
      <w:pPr>
        <w:spacing w:after="0" w:line="176" w:lineRule="exact"/>
        <w:rPr>
          <w:rFonts w:ascii="Times New Roman" w:cs="Times New Roman" w:eastAsia="Times New Roman" w:hAnsi="Times New Roman"/>
          <w:sz w:val="18"/>
          <w:szCs w:val="18"/>
          <w:color w:val="auto"/>
        </w:rPr>
      </w:pPr>
    </w:p>
    <w:p>
      <w:pPr>
        <w:jc w:val="both"/>
        <w:ind w:left="640" w:firstLine="488"/>
        <w:spacing w:after="0" w:line="262" w:lineRule="auto"/>
        <w:tabs>
          <w:tab w:leader="none" w:pos="170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Common Stock or Convertible Securities to lenders, financial institutions, equipment lessors, or real estate lessors to the Company in connection with a bona fide borrowing or leasing transaction (and expressly excluding any equity financing transactions) approved by the Company’s Board of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713422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“Trading Day” </w:t>
      </w:r>
      <w:r>
        <w:rPr>
          <w:rFonts w:ascii="Times New Roman" w:cs="Times New Roman" w:eastAsia="Times New Roman" w:hAnsi="Times New Roman"/>
          <w:sz w:val="18"/>
          <w:szCs w:val="18"/>
          <w:color w:val="auto"/>
        </w:rPr>
        <w:t>means a day on which the Company’s Common Stock is traded on any over-the-counter market (including, without limitation,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OTCBB, OTCQX or the Pink Sheets) or listed for quotation on any national securities exchange or trading system.</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 Shares” </w:t>
      </w:r>
      <w:r>
        <w:rPr>
          <w:rFonts w:ascii="Times New Roman" w:cs="Times New Roman" w:eastAsia="Times New Roman" w:hAnsi="Times New Roman"/>
          <w:sz w:val="18"/>
          <w:szCs w:val="18"/>
          <w:color w:val="auto"/>
        </w:rPr>
        <w:t>means the number of shares of the Common Stock as would be necessary for the Holder to acquire in order to achieve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Ownership Percentage of 20%, as calculated immediately following the closing of the Subsequent Financing (such number of shares to be adjusted for any subsequent stock splits, combinations, reorganizations or similar transactions).</w:t>
      </w:r>
    </w:p>
    <w:p>
      <w:pPr>
        <w:spacing w:after="0" w:line="171" w:lineRule="exact"/>
        <w:rPr>
          <w:sz w:val="20"/>
          <w:szCs w:val="20"/>
          <w:color w:val="auto"/>
        </w:rPr>
      </w:pPr>
    </w:p>
    <w:p>
      <w:pPr>
        <w:ind w:left="1180" w:hanging="533"/>
        <w:spacing w:after="0"/>
        <w:tabs>
          <w:tab w:leader="none" w:pos="11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and Duration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color w:val="auto"/>
        </w:rPr>
        <w:t>The Holder may exercise this Warrant, on any business day, for all of the Warrant Shares purchasable hereunder, from and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business day following the closing of the Subsequent Financing to and including the Expiration Date.</w:t>
      </w:r>
    </w:p>
    <w:p>
      <w:pPr>
        <w:spacing w:after="0" w:line="156" w:lineRule="exact"/>
        <w:rPr>
          <w:sz w:val="20"/>
          <w:szCs w:val="20"/>
          <w:color w:val="auto"/>
        </w:rPr>
      </w:pPr>
    </w:p>
    <w:p>
      <w:pPr>
        <w:jc w:val="both"/>
        <w:ind w:firstLine="128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color w:val="auto"/>
        </w:rPr>
        <w:t>This Warrant shall be exercisable only by (i) the delivery to the Company at its address listed on the signature page hereto (or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other address as it may designate by notice in writing to the Holder) of this Warrant together with an executed Notice of Exercise in the form attached hereto (an “</w:t>
      </w:r>
      <w:r>
        <w:rPr>
          <w:rFonts w:ascii="Times New Roman" w:cs="Times New Roman" w:eastAsia="Times New Roman" w:hAnsi="Times New Roman"/>
          <w:sz w:val="18"/>
          <w:szCs w:val="18"/>
          <w:b w:val="1"/>
          <w:bCs w:val="1"/>
          <w:i w:val="1"/>
          <w:iCs w:val="1"/>
          <w:color w:val="auto"/>
        </w:rPr>
        <w:t>Exercise Notice”</w:t>
      </w:r>
      <w:r>
        <w:rPr>
          <w:rFonts w:ascii="Times New Roman" w:cs="Times New Roman" w:eastAsia="Times New Roman" w:hAnsi="Times New Roman"/>
          <w:sz w:val="18"/>
          <w:szCs w:val="18"/>
          <w:color w:val="auto"/>
        </w:rPr>
        <w:t>), and (ii) payment of the Exercise Price in one of the following manners:</w:t>
      </w:r>
    </w:p>
    <w:p>
      <w:pPr>
        <w:spacing w:after="0" w:line="171" w:lineRule="exact"/>
        <w:rPr>
          <w:sz w:val="20"/>
          <w:szCs w:val="20"/>
          <w:color w:val="auto"/>
        </w:rPr>
      </w:pPr>
    </w:p>
    <w:p>
      <w:pPr>
        <w:ind w:left="1280"/>
        <w:spacing w:after="0"/>
        <w:tabs>
          <w:tab w:leader="none" w:pos="218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The Holder may deliver immediately available funds (either in cash or by check), or by cancellation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w:t>
      </w:r>
    </w:p>
    <w:p>
      <w:pPr>
        <w:spacing w:after="0" w:line="201" w:lineRule="exact"/>
        <w:rPr>
          <w:sz w:val="20"/>
          <w:szCs w:val="20"/>
          <w:color w:val="auto"/>
        </w:rPr>
      </w:pPr>
    </w:p>
    <w:p>
      <w:pPr>
        <w:jc w:val="both"/>
        <w:ind w:firstLine="1288"/>
        <w:spacing w:after="0" w:line="257" w:lineRule="auto"/>
        <w:tabs>
          <w:tab w:leader="none" w:pos="2005"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an Exercise Notice is delivered at a time when a registration statement permitting the Holder to resell the Warrant Shares is not then effective or the prospectus forming a part thereof is not then available to the Holder for the resale of the Warrant Shares, then the Holder may notify the Company in an Exercise Notice of its election to utilize cashless exercise, in which event the Company shall issue to the Holder the number of Warrant Shares determined as follows:</w:t>
      </w:r>
    </w:p>
    <w:p>
      <w:pPr>
        <w:spacing w:after="0" w:line="18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X = Y [(A-B)/A]</w:t>
      </w:r>
    </w:p>
    <w:p>
      <w:pPr>
        <w:spacing w:after="0" w:line="2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where:</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X = the number of Warrant Shares to be issued to the Holder.</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Y = the number of Warrant Shares with respect to which this Warrant is being exercised.</w:t>
      </w:r>
    </w:p>
    <w:p>
      <w:pPr>
        <w:spacing w:after="0" w:line="220" w:lineRule="exact"/>
        <w:rPr>
          <w:sz w:val="20"/>
          <w:szCs w:val="20"/>
          <w:color w:val="auto"/>
        </w:rPr>
      </w:pPr>
    </w:p>
    <w:p>
      <w:pPr>
        <w:jc w:val="both"/>
        <w:ind w:left="1920"/>
        <w:spacing w:after="0" w:line="257" w:lineRule="auto"/>
        <w:rPr>
          <w:sz w:val="20"/>
          <w:szCs w:val="20"/>
          <w:color w:val="auto"/>
        </w:rPr>
      </w:pPr>
      <w:r>
        <w:rPr>
          <w:rFonts w:ascii="Times New Roman" w:cs="Times New Roman" w:eastAsia="Times New Roman" w:hAnsi="Times New Roman"/>
          <w:sz w:val="18"/>
          <w:szCs w:val="18"/>
          <w:color w:val="auto"/>
        </w:rPr>
        <w:t xml:space="preserve">A = the average of the closing prices for the five Trading Days immediately prior to (but not including) the exercise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there is no public market for the Company’s Common Stock on the exercise date, then the value of “A” shall be equal to the then fair market value of a share of Company Common Stock as determined in good faith by the Company’s Board of Directors.</w:t>
      </w:r>
    </w:p>
    <w:p>
      <w:pPr>
        <w:spacing w:after="0" w:line="18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B = the Exercise Price.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713422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For purposes of Rule 144 promulgated under the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w:t>
      </w:r>
    </w:p>
    <w:p>
      <w:pPr>
        <w:spacing w:after="0" w:line="172" w:lineRule="exact"/>
        <w:rPr>
          <w:sz w:val="20"/>
          <w:szCs w:val="20"/>
          <w:color w:val="auto"/>
        </w:rPr>
      </w:pPr>
    </w:p>
    <w:p>
      <w:pPr>
        <w:jc w:val="both"/>
        <w:ind w:firstLine="1281"/>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color w:val="auto"/>
        </w:rPr>
        <w:t>Upon the exercise of the rights represented by this Warrant, a certificate or certificates for the Common Stock so purchased,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in the name of the Holder or persons affiliated with the Holder, if the Holder so designates, shall be issued and delivered to the Holder within a reasonable time after the rights represented by this Warrant shall have been so exercised.</w:t>
      </w:r>
    </w:p>
    <w:p>
      <w:pPr>
        <w:spacing w:after="0" w:line="171" w:lineRule="exact"/>
        <w:rPr>
          <w:sz w:val="20"/>
          <w:szCs w:val="20"/>
          <w:color w:val="auto"/>
        </w:rPr>
      </w:pPr>
    </w:p>
    <w:p>
      <w:pPr>
        <w:jc w:val="both"/>
        <w:ind w:firstLine="128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color w:val="auto"/>
        </w:rPr>
        <w:t>The person in whose name any certificate or certificates for shares of Common Stock are to be issued upon exercise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shall be deemed to have become the holder of record of such shares on the date on which this Warrant was surrendered and payment of the Exercise Price was made, irrespective of the date of delivery of such certificate or certificates,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w:t>
      </w:r>
    </w:p>
    <w:p>
      <w:pPr>
        <w:spacing w:after="0" w:line="177" w:lineRule="exact"/>
        <w:rPr>
          <w:sz w:val="20"/>
          <w:szCs w:val="20"/>
          <w:color w:val="auto"/>
        </w:rPr>
      </w:pPr>
    </w:p>
    <w:p>
      <w:pPr>
        <w:ind w:left="1260" w:hanging="613"/>
        <w:spacing w:after="0"/>
        <w:tabs>
          <w:tab w:leader="none" w:pos="12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of the Company.</w:t>
      </w:r>
    </w:p>
    <w:p>
      <w:pPr>
        <w:spacing w:after="0" w:line="220" w:lineRule="exact"/>
        <w:rPr>
          <w:sz w:val="20"/>
          <w:szCs w:val="20"/>
          <w:color w:val="auto"/>
        </w:rPr>
      </w:pPr>
    </w:p>
    <w:p>
      <w:pPr>
        <w:jc w:val="both"/>
        <w:ind w:firstLine="1281"/>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3.1 Covenants as to Common Stock. </w:t>
      </w:r>
      <w:r>
        <w:rPr>
          <w:rFonts w:ascii="Times New Roman" w:cs="Times New Roman" w:eastAsia="Times New Roman" w:hAnsi="Times New Roman"/>
          <w:sz w:val="18"/>
          <w:szCs w:val="18"/>
          <w:color w:val="auto"/>
        </w:rPr>
        <w:t>The Company covenants and agrees that all Common Stock that may be issued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the rights represented by this Warrant, will, upon issuance, be validly issued and outstanding, fully paid and nonassessable, and free from all taxes, liens and charges with respect to the issuance thereof. The Company further covenants and agrees that the Company will at all times, until the rights under this Warrant are no longer exercisable, have authorized and reserved, free from preemptive rights, a sufficient number of shares of Common Stock to provide for the exercise of the rights represented by this Warrant. If at any time during the period at which the rights under this Warrant are exercisable, the number of authorized but unissued shares of Common Stock shall not be sufficient to permit exercise of this Warrant, the Company will take such corporate action as may, in the opinion of its counsel, be necessary to increase its authorized but unissued shares of Common Stock to such number of shares as shall be sufficient for such purposes.</w:t>
      </w:r>
    </w:p>
    <w:p>
      <w:pPr>
        <w:spacing w:after="0" w:line="183" w:lineRule="exact"/>
        <w:rPr>
          <w:sz w:val="20"/>
          <w:szCs w:val="20"/>
          <w:color w:val="auto"/>
        </w:rPr>
      </w:pPr>
    </w:p>
    <w:p>
      <w:pPr>
        <w:jc w:val="both"/>
        <w:ind w:firstLine="128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3.2 No Impairment. </w:t>
      </w:r>
      <w:r>
        <w:rPr>
          <w:rFonts w:ascii="Times New Roman" w:cs="Times New Roman" w:eastAsia="Times New Roman" w:hAnsi="Times New Roman"/>
          <w:sz w:val="18"/>
          <w:szCs w:val="18"/>
          <w:color w:val="auto"/>
        </w:rPr>
        <w:t>The Company will not, by amendment of its certificate of incorporation or through any reorganization,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the taking of all such action as may be necessary or appropriate in order to protect the exercise rights of the Holder against impairment. The Company will not increase the par value of the Common Stock in excess of the Exercise Price for the Warrant.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713422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both"/>
        <w:ind w:firstLine="1281"/>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3.3 Acquisition. </w:t>
      </w:r>
      <w:r>
        <w:rPr>
          <w:rFonts w:ascii="Times New Roman" w:cs="Times New Roman" w:eastAsia="Times New Roman" w:hAnsi="Times New Roman"/>
          <w:sz w:val="18"/>
          <w:szCs w:val="18"/>
          <w:color w:val="auto"/>
        </w:rPr>
        <w:t>Upon the closing of any Acquisition, the surviving or successor entity shall assume this Warrant and the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hereunder, and this Warrant shall, from and after such closing, be exercisable for the same class, number and kind of securities, cash and other property as would have been paid for or in respect of shares of Common Stock in connection with such Acquisition, at an aggregate exercise price equal to the aggregate Exercise Price in effect as of immediately prior to such closing.</w:t>
      </w:r>
    </w:p>
    <w:p>
      <w:pPr>
        <w:spacing w:after="0" w:line="177" w:lineRule="exact"/>
        <w:rPr>
          <w:sz w:val="20"/>
          <w:szCs w:val="20"/>
          <w:color w:val="auto"/>
        </w:rPr>
      </w:pPr>
    </w:p>
    <w:p>
      <w:pPr>
        <w:ind w:left="1300" w:hanging="653"/>
        <w:spacing w:after="0"/>
        <w:tabs>
          <w:tab w:leader="none" w:pos="1300"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Stockholder Rights. </w:t>
      </w:r>
      <w:r>
        <w:rPr>
          <w:rFonts w:ascii="Times New Roman" w:cs="Times New Roman" w:eastAsia="Times New Roman" w:hAnsi="Times New Roman"/>
          <w:sz w:val="17"/>
          <w:szCs w:val="17"/>
          <w:color w:val="auto"/>
        </w:rPr>
        <w:t>This Warrant in and of itself shall not entitle the Holder to any voting rights or other rights as a stockholder of the</w:t>
      </w:r>
    </w:p>
    <w:p>
      <w:pPr>
        <w:spacing w:after="0" w:line="40"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Company.</w:t>
      </w:r>
    </w:p>
    <w:p>
      <w:pPr>
        <w:spacing w:after="0" w:line="196" w:lineRule="exact"/>
        <w:rPr>
          <w:rFonts w:ascii="Times New Roman" w:cs="Times New Roman" w:eastAsia="Times New Roman" w:hAnsi="Times New Roman"/>
          <w:sz w:val="17"/>
          <w:szCs w:val="17"/>
          <w:b w:val="1"/>
          <w:bCs w:val="1"/>
          <w:color w:val="auto"/>
        </w:rPr>
      </w:pPr>
    </w:p>
    <w:p>
      <w:pPr>
        <w:jc w:val="both"/>
        <w:ind w:firstLine="647"/>
        <w:spacing w:after="0" w:line="258" w:lineRule="auto"/>
        <w:tabs>
          <w:tab w:leader="none" w:pos="1129"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of Warrant. </w:t>
      </w:r>
      <w:r>
        <w:rPr>
          <w:rFonts w:ascii="Times New Roman" w:cs="Times New Roman" w:eastAsia="Times New Roman" w:hAnsi="Times New Roman"/>
          <w:sz w:val="18"/>
          <w:szCs w:val="18"/>
          <w:color w:val="auto"/>
        </w:rPr>
        <w:t>Subject to applicable laws and the restriction on transfer set forth on the first page of this Warrant, this Warrant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hereunder are transferable, by the Holder in person or by duly authorized attorney, upon delivery of this Warrant and the form of assignment attached hereto to any transferee designated by Holder. The Warrant may be transferred only in whole, and not in part. The transferee shall sign an investment letter in form and substance satisfactory to the Company.</w:t>
      </w:r>
    </w:p>
    <w:p>
      <w:pPr>
        <w:spacing w:after="0" w:line="177" w:lineRule="exact"/>
        <w:rPr>
          <w:rFonts w:ascii="Times New Roman" w:cs="Times New Roman" w:eastAsia="Times New Roman" w:hAnsi="Times New Roman"/>
          <w:sz w:val="18"/>
          <w:szCs w:val="18"/>
          <w:b w:val="1"/>
          <w:bCs w:val="1"/>
          <w:color w:val="auto"/>
        </w:rPr>
      </w:pPr>
    </w:p>
    <w:p>
      <w:pPr>
        <w:jc w:val="both"/>
        <w:ind w:firstLine="647"/>
        <w:spacing w:after="0" w:line="258" w:lineRule="auto"/>
        <w:tabs>
          <w:tab w:leader="none" w:pos="1245"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Lost, Stolen, Mutilated or Destroyed Warrant. </w:t>
      </w:r>
      <w:r>
        <w:rPr>
          <w:rFonts w:ascii="Times New Roman" w:cs="Times New Roman" w:eastAsia="Times New Roman" w:hAnsi="Times New Roman"/>
          <w:sz w:val="18"/>
          <w:szCs w:val="18"/>
          <w:color w:val="auto"/>
        </w:rPr>
        <w:t>If this Warrant is lost, stolen, mutilated or destroyed, the Company may, on such terms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indemnity or otherwise as it may reasonably impose (which shall, in the case of a mutilated Warrant, include the surrender thereof), issue a new Warrant of like denomination and tenor as the Warrant so lost, stolen, mutilated or destroyed. Any such new Warrant shall constitute an original contractual obligation of the Company, whether or not the allegedly lost, stolen, mutilated or destroyed Warrant shall be at any time enforceable by anyone.</w:t>
      </w:r>
    </w:p>
    <w:p>
      <w:pPr>
        <w:spacing w:after="0" w:line="177" w:lineRule="exact"/>
        <w:rPr>
          <w:rFonts w:ascii="Times New Roman" w:cs="Times New Roman" w:eastAsia="Times New Roman" w:hAnsi="Times New Roman"/>
          <w:sz w:val="18"/>
          <w:szCs w:val="18"/>
          <w:b w:val="1"/>
          <w:bCs w:val="1"/>
          <w:color w:val="auto"/>
        </w:rPr>
      </w:pPr>
    </w:p>
    <w:p>
      <w:pPr>
        <w:ind w:firstLine="647"/>
        <w:spacing w:after="0" w:line="281" w:lineRule="auto"/>
        <w:tabs>
          <w:tab w:leader="none" w:pos="12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 Termination. </w:t>
      </w:r>
      <w:r>
        <w:rPr>
          <w:rFonts w:ascii="Times New Roman" w:cs="Times New Roman" w:eastAsia="Times New Roman" w:hAnsi="Times New Roman"/>
          <w:sz w:val="18"/>
          <w:szCs w:val="18"/>
          <w:color w:val="auto"/>
        </w:rPr>
        <w:t>This Warrant may be terminated, and any term of this Warrant may be amended or waived, with the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of the Company and the holder of the Warrant.</w:t>
      </w:r>
    </w:p>
    <w:p>
      <w:pPr>
        <w:spacing w:after="0" w:line="155" w:lineRule="exact"/>
        <w:rPr>
          <w:rFonts w:ascii="Times New Roman" w:cs="Times New Roman" w:eastAsia="Times New Roman" w:hAnsi="Times New Roman"/>
          <w:sz w:val="18"/>
          <w:szCs w:val="18"/>
          <w:b w:val="1"/>
          <w:bCs w:val="1"/>
          <w:color w:val="auto"/>
        </w:rPr>
      </w:pPr>
    </w:p>
    <w:p>
      <w:pPr>
        <w:jc w:val="both"/>
        <w:ind w:firstLine="647"/>
        <w:spacing w:after="0" w:line="254" w:lineRule="auto"/>
        <w:tabs>
          <w:tab w:leader="none" w:pos="1405"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etc. </w:t>
      </w:r>
      <w:r>
        <w:rPr>
          <w:rFonts w:ascii="Times New Roman" w:cs="Times New Roman" w:eastAsia="Times New Roman" w:hAnsi="Times New Roman"/>
          <w:sz w:val="18"/>
          <w:szCs w:val="18"/>
          <w:color w:val="auto"/>
        </w:rPr>
        <w:t>All notices required or permitted hereunder shall be in writing and shall be deemed effectively given: (a) upon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to the party to be notified, (b) when sent by confirmed telex or facsimile if sent during normal business hours of the recipient,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Company at the address listed on the signature page and to the Holder at the addresses set forth on the first page of this Warrant or at such other addresses as the Company or Holder may designate by ten (10) days advance written notice to the other parties hereto.</w:t>
      </w:r>
    </w:p>
    <w:p>
      <w:pPr>
        <w:spacing w:after="0" w:line="180" w:lineRule="exact"/>
        <w:rPr>
          <w:rFonts w:ascii="Times New Roman" w:cs="Times New Roman" w:eastAsia="Times New Roman" w:hAnsi="Times New Roman"/>
          <w:sz w:val="18"/>
          <w:szCs w:val="18"/>
          <w:b w:val="1"/>
          <w:bCs w:val="1"/>
          <w:color w:val="auto"/>
        </w:rPr>
      </w:pPr>
    </w:p>
    <w:p>
      <w:pPr>
        <w:ind w:left="1160" w:hanging="513"/>
        <w:spacing w:after="0"/>
        <w:tabs>
          <w:tab w:leader="none" w:pos="1160"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Acceptance. </w:t>
      </w:r>
      <w:r>
        <w:rPr>
          <w:rFonts w:ascii="Times New Roman" w:cs="Times New Roman" w:eastAsia="Times New Roman" w:hAnsi="Times New Roman"/>
          <w:sz w:val="17"/>
          <w:szCs w:val="17"/>
          <w:color w:val="auto"/>
        </w:rPr>
        <w:t>Receipt of this Warrant by the Holder shall constitute acceptance of and agreement to all of the terms and conditions contained</w:t>
      </w:r>
    </w:p>
    <w:p>
      <w:pPr>
        <w:spacing w:after="0" w:line="40"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herein.</w:t>
      </w:r>
    </w:p>
    <w:p>
      <w:pPr>
        <w:spacing w:after="0" w:line="196" w:lineRule="exact"/>
        <w:rPr>
          <w:rFonts w:ascii="Times New Roman" w:cs="Times New Roman" w:eastAsia="Times New Roman" w:hAnsi="Times New Roman"/>
          <w:sz w:val="17"/>
          <w:szCs w:val="17"/>
          <w:b w:val="1"/>
          <w:bCs w:val="1"/>
          <w:color w:val="auto"/>
        </w:rPr>
      </w:pPr>
    </w:p>
    <w:p>
      <w:pPr>
        <w:ind w:left="1140" w:hanging="493"/>
        <w:spacing w:after="0"/>
        <w:tabs>
          <w:tab w:leader="none" w:pos="11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Warrant and all rights, obligations and liabilities hereunder shall be governed by the laws of the State of New York.</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emainder of this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ntentionally</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eft</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lank</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713422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Company has caused this Warrant to be executed by its duly authorized officer on the date set forth on the face of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w:t>
      </w:r>
    </w:p>
    <w:p>
      <w:pPr>
        <w:spacing w:after="0" w:line="19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Puma Biotechnology, Inc.</w:t>
      </w:r>
    </w:p>
    <w:p>
      <w:pPr>
        <w:spacing w:after="0" w:line="200" w:lineRule="exact"/>
        <w:rPr>
          <w:sz w:val="20"/>
          <w:szCs w:val="20"/>
          <w:color w:val="auto"/>
        </w:rPr>
      </w:pPr>
    </w:p>
    <w:p>
      <w:pPr>
        <w:spacing w:after="0" w:line="237"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Charles R. Eyler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3859530</wp:posOffset>
            </wp:positionH>
            <wp:positionV relativeFrom="paragraph">
              <wp:posOffset>15875</wp:posOffset>
            </wp:positionV>
            <wp:extent cx="2423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Name:Charles R. Eyler</w:t>
      </w:r>
    </w:p>
    <w:p>
      <w:pPr>
        <w:spacing w:after="0" w:line="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Senior Vice President, Finance and Treasurer</w:t>
      </w:r>
    </w:p>
    <w:p>
      <w:pPr>
        <w:spacing w:after="0" w:line="2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Address:10940 Wilshire Boulevard, Suite 600</w:t>
      </w:r>
    </w:p>
    <w:p>
      <w:pPr>
        <w:spacing w:after="0" w:line="2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Los Angeles, California 90024</w:t>
      </w:r>
    </w:p>
    <w:p>
      <w:pPr>
        <w:spacing w:after="0" w:line="200" w:lineRule="exact"/>
        <w:rPr>
          <w:sz w:val="20"/>
          <w:szCs w:val="20"/>
          <w:color w:val="auto"/>
        </w:rPr>
      </w:pPr>
    </w:p>
    <w:p>
      <w:pPr>
        <w:spacing w:after="0" w:line="2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[Signature Page to Warrant]</w:t>
      </w:r>
    </w:p>
    <w:p>
      <w:pPr>
        <w:spacing w:after="0" w:line="22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713422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Puma Biotechnology, Inc.</w:t>
      </w:r>
    </w:p>
    <w:p>
      <w:pPr>
        <w:spacing w:after="0" w:line="183" w:lineRule="exact"/>
        <w:rPr>
          <w:sz w:val="20"/>
          <w:szCs w:val="20"/>
          <w:color w:val="auto"/>
        </w:rPr>
      </w:pPr>
    </w:p>
    <w:p>
      <w:pPr>
        <w:ind w:firstLine="647"/>
        <w:spacing w:after="0" w:line="244" w:lineRule="exact"/>
        <w:tabs>
          <w:tab w:leader="none" w:pos="1399" w:val="left"/>
        </w:tabs>
        <w:numPr>
          <w:ilvl w:val="0"/>
          <w:numId w:val="61"/>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undersigned hereby elects to purchase ________ shares of Common Stock of Puma Biotechnology,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pursuant to the terms of the attached Warrant, and tenders herewith payment of the exercise price in full, together with all applicable transfer taxes, if any.</w:t>
      </w:r>
    </w:p>
    <w:p>
      <w:pPr>
        <w:spacing w:after="0" w:line="194" w:lineRule="exact"/>
        <w:rPr>
          <w:rFonts w:ascii="Times New Roman" w:cs="Times New Roman" w:eastAsia="Times New Roman" w:hAnsi="Times New Roman"/>
          <w:sz w:val="18"/>
          <w:szCs w:val="18"/>
          <w:b w:val="1"/>
          <w:bCs w:val="1"/>
          <w:color w:val="auto"/>
        </w:rPr>
      </w:pPr>
    </w:p>
    <w:p>
      <w:pPr>
        <w:ind w:firstLine="1288"/>
        <w:spacing w:after="0" w:line="277" w:lineRule="auto"/>
        <w:tabs>
          <w:tab w:leader="none" w:pos="1937" w:val="left"/>
        </w:tabs>
        <w:numPr>
          <w:ilvl w:val="1"/>
          <w:numId w:val="6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undersigned hereby elects to purchase ________ shares of the Common Stock of the Company pursuant to the terms of the cashless exercise provisions set forth in Section 2.2 of the attached Warrant, and shall tender payment of all applicable transfer taxes, if any.</w:t>
      </w:r>
    </w:p>
    <w:p>
      <w:pPr>
        <w:spacing w:after="0" w:line="162" w:lineRule="exact"/>
        <w:rPr>
          <w:rFonts w:ascii="MS PGothic" w:cs="MS PGothic" w:eastAsia="MS PGothic" w:hAnsi="MS PGothic"/>
          <w:sz w:val="18"/>
          <w:szCs w:val="18"/>
          <w:color w:val="auto"/>
        </w:rPr>
      </w:pPr>
    </w:p>
    <w:p>
      <w:pPr>
        <w:ind w:firstLine="647"/>
        <w:spacing w:after="0" w:line="277" w:lineRule="auto"/>
        <w:tabs>
          <w:tab w:leader="none" w:pos="1282"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Please issue a certificate or certificates representing said shares of Common Stock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284480</wp:posOffset>
            </wp:positionV>
            <wp:extent cx="17792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185420</wp:posOffset>
            </wp:positionV>
            <wp:extent cx="17792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79270" cy="8255"/>
                    </a:xfrm>
                    <a:prstGeom prst="rect">
                      <a:avLst/>
                    </a:prstGeom>
                    <a:noFill/>
                  </pic:spPr>
                </pic:pic>
              </a:graphicData>
            </a:graphic>
          </wp:anchor>
        </w:drawing>
        <w:drawing>
          <wp:anchor simplePos="0" relativeHeight="251657728" behindDoc="1" locked="0" layoutInCell="0" allowOverlap="1">
            <wp:simplePos x="0" y="0"/>
            <wp:positionH relativeFrom="column">
              <wp:posOffset>2681605</wp:posOffset>
            </wp:positionH>
            <wp:positionV relativeFrom="paragraph">
              <wp:posOffset>396875</wp:posOffset>
            </wp:positionV>
            <wp:extent cx="17792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w:t>
      </w:r>
    </w:p>
    <w:p>
      <w:pPr>
        <w:spacing w:after="0" w:line="220" w:lineRule="exact"/>
        <w:rPr>
          <w:sz w:val="20"/>
          <w:szCs w:val="20"/>
          <w:color w:val="auto"/>
        </w:rPr>
      </w:pPr>
    </w:p>
    <w:p>
      <w:pPr>
        <w:jc w:val="both"/>
        <w:ind w:firstLine="647"/>
        <w:spacing w:after="0" w:line="249" w:lineRule="auto"/>
        <w:tabs>
          <w:tab w:leader="none" w:pos="1439"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undersigned represents that (i) the aforesaid shares of Common Stock are being acquired for the account of the undersigned for investment and not with a view to, or for resale in connection with, the distribution thereof and that the undersigned has no present intention of distributing or reselling such shares; (ii) the undersigned is aware of the Company’s business affairs and financial condition and has acquired sufficient information about the Company to reach an informed and knowledgeable decision regarding its investment in the Company; (iii) the undersigned is experienced in making investments of this type and has such knowledge and background in financial and business matters that the undersigned is capable of evaluating the merits and risks of this investment and protecting the undersigned’s own interests; (iv) the undersigned understands that the shares of Common Stock issuable upon exercise of this Warrant have not been registered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by reason of a specific exemption from the registration provisions of the Securities Act, which exemption depends upon, among other things, the bona fide nature of the investment intent as expressed herein, and, because such securities have not been registered under the Securities Act, they must be held indefinitely unless subsequently registered under the Securities Act or an exemption from such registration is available; (v) the undersigned is aware that the aforesaid shares of Common Stock may not be sold pursuant to Rule 144 adopted under the Securities Act unless certain conditions are met and until the undersigned has held the shares for the number of years prescribed by Rule 144, that among the conditions for use of the Rule is the availability of current information to the public about the Company and the Company has not made such information available and has no present plans to do so; and (vi) the undersigned agrees not to make any disposition of all or any part of the aforesaid shares of Common Stock unless and until there is then in effect a registration statement under the Securities Act covering such proposed disposition and such disposition is made in accordance with said registration statement, or the undersigned has provided the Company with an opinion of counsel satisfactory to the Company, stating that such registration is not required.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713422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42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13" w:lineRule="exact"/>
        <w:rPr>
          <w:sz w:val="20"/>
          <w:szCs w:val="20"/>
          <w:color w:val="auto"/>
        </w:rPr>
      </w:pPr>
    </w:p>
    <w:p>
      <w:pPr>
        <w:jc w:val="right"/>
        <w:ind w:right="3399"/>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-127635</wp:posOffset>
            </wp:positionV>
            <wp:extent cx="34226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2650" cy="8255"/>
                    </a:xfrm>
                    <a:prstGeom prst="rect">
                      <a:avLst/>
                    </a:prstGeom>
                    <a:noFill/>
                  </pic:spPr>
                </pic:pic>
              </a:graphicData>
            </a:graphic>
          </wp:anchor>
        </w:drawing>
      </w:r>
    </w:p>
    <w:p>
      <w:pPr>
        <w:spacing w:after="0" w:line="20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713422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(To assign the foregoing Warrant, execute this form</w:t>
      </w:r>
    </w:p>
    <w:p>
      <w:pPr>
        <w:spacing w:after="0" w:line="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and supply required information. Do not use this</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form to purchase shares.)</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alue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eceived</w:t>
      </w:r>
      <w:r>
        <w:rPr>
          <w:rFonts w:ascii="Times New Roman" w:cs="Times New Roman" w:eastAsia="Times New Roman" w:hAnsi="Times New Roman"/>
          <w:sz w:val="18"/>
          <w:szCs w:val="18"/>
          <w:color w:val="auto"/>
        </w:rPr>
        <w:t>, the foregoing Warrant and all rights evidenced thereby are hereby assigned to</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15875</wp:posOffset>
            </wp:positionV>
            <wp:extent cx="67697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69735" cy="8255"/>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15875</wp:posOffset>
            </wp:positionV>
            <wp:extent cx="66681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68135" cy="8255"/>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142875</wp:posOffset>
            </wp:positionV>
            <wp:extent cx="21183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1836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3810</wp:posOffset>
            </wp:positionV>
            <wp:extent cx="38550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55085"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wp:posOffset>
            </wp:positionH>
            <wp:positionV relativeFrom="paragraph">
              <wp:posOffset>3810</wp:posOffset>
            </wp:positionV>
            <wp:extent cx="39141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91414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The signature to this Assignment Form must correspond with the name as it appears on the face of the Warrant, without alteration or enlargement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change whatever. Officers of corporations and those acting in a fiduciary or other representative capacity should file proper evidence of authority to assign the foregoing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469900</wp:posOffset>
            </wp:positionV>
            <wp:extent cx="713422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PUMA BIOTECHNOLOGY,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SHARES OF COMMON STOCK</w:t>
      </w:r>
    </w:p>
    <w:p>
      <w:pPr>
        <w:spacing w:after="0" w:line="19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THIS AMENDMENT TO WARRANT TO PURCHASE SHARES OF COMMON STOCK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is made as of April 1, 2021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by and between Puma Biotechnology,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and Alan H. Auerbach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Capitalized terms used and not otherwise defined herein shall have the meanings ascribed to such terms in the Warrant (as defined below).</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0" w:lineRule="exact"/>
        <w:rPr>
          <w:sz w:val="20"/>
          <w:szCs w:val="20"/>
          <w:color w:val="auto"/>
        </w:rPr>
      </w:pPr>
    </w:p>
    <w:p>
      <w:pPr>
        <w:ind w:firstLine="7"/>
        <w:spacing w:after="0" w:line="281" w:lineRule="auto"/>
        <w:tabs>
          <w:tab w:leader="none" w:pos="68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issued to the Holder a Warrant to Purchase Shares of Common Stock, dated October 4, 2011 (the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pursuant to which the Holder may purchase up to 2,116,250 shares of the Company’s common stock with an exercise price of $16.00 per share.</w:t>
      </w:r>
    </w:p>
    <w:p>
      <w:pPr>
        <w:spacing w:after="0" w:line="159"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of the Warrant is October 4, 2021.</w:t>
      </w:r>
    </w:p>
    <w:p>
      <w:pPr>
        <w:spacing w:after="0" w:line="219" w:lineRule="exact"/>
        <w:rPr>
          <w:rFonts w:ascii="Times New Roman" w:cs="Times New Roman" w:eastAsia="Times New Roman" w:hAnsi="Times New Roman"/>
          <w:sz w:val="18"/>
          <w:szCs w:val="18"/>
          <w:color w:val="auto"/>
        </w:rPr>
      </w:pPr>
    </w:p>
    <w:p>
      <w:pPr>
        <w:ind w:firstLine="7"/>
        <w:spacing w:after="0" w:line="277" w:lineRule="auto"/>
        <w:tabs>
          <w:tab w:leader="none" w:pos="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wish to extend the term of the Warrant by five years, subject to approval by the stockholders of the Company on or prior to October 4, 2021.</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parties hereto hereby amend the Warrant as follows:</w:t>
      </w:r>
    </w:p>
    <w:p>
      <w:pPr>
        <w:spacing w:after="0" w:line="220" w:lineRule="exact"/>
        <w:rPr>
          <w:sz w:val="20"/>
          <w:szCs w:val="20"/>
          <w:color w:val="auto"/>
        </w:rPr>
      </w:pPr>
    </w:p>
    <w:p>
      <w:pPr>
        <w:ind w:left="640" w:hanging="633"/>
        <w:spacing w:after="0" w:line="277"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The sixth paragraph of Section 1 of the Warrant (the definition of “Expiration Date”) is hereby deleted and replaced in its entirety with the following:</w:t>
      </w:r>
    </w:p>
    <w:p>
      <w:pPr>
        <w:spacing w:after="0" w:line="158"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October 4, 2026.</w:t>
      </w:r>
    </w:p>
    <w:p>
      <w:pPr>
        <w:spacing w:after="0" w:line="223" w:lineRule="exact"/>
        <w:rPr>
          <w:rFonts w:ascii="Times New Roman" w:cs="Times New Roman" w:eastAsia="Times New Roman" w:hAnsi="Times New Roman"/>
          <w:sz w:val="18"/>
          <w:szCs w:val="18"/>
          <w:color w:val="auto"/>
        </w:rPr>
      </w:pPr>
    </w:p>
    <w:p>
      <w:pPr>
        <w:ind w:left="640" w:right="340" w:hanging="633"/>
        <w:spacing w:after="0" w:line="277"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and, as of the Effective Date, is hereby incorporated in and forms a part of the Warrant; provided that the Amendment shall be subject to approval by the stockholders of the Company on or prior to October 4, 2021.</w:t>
      </w:r>
    </w:p>
    <w:p>
      <w:pPr>
        <w:spacing w:after="0" w:line="162"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herein, all terms and conditions of the Warrant shall remain in full force and effect.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347345</wp:posOffset>
            </wp:positionV>
            <wp:extent cx="71342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Amendment as of the date first written above.</w:t>
      </w:r>
    </w:p>
    <w:p>
      <w:pPr>
        <w:spacing w:after="0" w:line="220" w:lineRule="exact"/>
        <w:rPr>
          <w:sz w:val="20"/>
          <w:szCs w:val="20"/>
          <w:color w:val="auto"/>
        </w:rPr>
      </w:pPr>
    </w:p>
    <w:p>
      <w:pPr>
        <w:jc w:val="right"/>
        <w:ind w:right="1079"/>
        <w:spacing w:after="0"/>
        <w:rPr>
          <w:sz w:val="20"/>
          <w:szCs w:val="20"/>
          <w:color w:val="auto"/>
        </w:rPr>
      </w:pPr>
      <w:r>
        <w:rPr>
          <w:rFonts w:ascii="Times New Roman" w:cs="Times New Roman" w:eastAsia="Times New Roman" w:hAnsi="Times New Roman"/>
          <w:sz w:val="18"/>
          <w:szCs w:val="18"/>
          <w:b w:val="1"/>
          <w:bCs w:val="1"/>
          <w:color w:val="auto"/>
        </w:rPr>
        <w:t>PUMA BIOTECHNOLOGY, INC.</w:t>
      </w:r>
    </w:p>
    <w:p>
      <w:pPr>
        <w:spacing w:after="0" w:line="200" w:lineRule="exact"/>
        <w:rPr>
          <w:sz w:val="20"/>
          <w:szCs w:val="20"/>
          <w:color w:val="auto"/>
        </w:rPr>
      </w:pPr>
    </w:p>
    <w:p>
      <w:pPr>
        <w:spacing w:after="0" w:line="23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By: /s/ Maximo F. Nougues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15875</wp:posOffset>
            </wp:positionV>
            <wp:extent cx="28467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46705" cy="825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Name: Maximo F. Nougues</w:t>
      </w:r>
    </w:p>
    <w:p>
      <w:pPr>
        <w:spacing w:after="0" w:line="2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1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00" w:lineRule="exact"/>
        <w:rPr>
          <w:sz w:val="20"/>
          <w:szCs w:val="20"/>
          <w:color w:val="auto"/>
        </w:rPr>
      </w:pPr>
    </w:p>
    <w:p>
      <w:pPr>
        <w:spacing w:after="0" w:line="23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/s/ Alan H. Auerbach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15875</wp:posOffset>
            </wp:positionV>
            <wp:extent cx="30670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067050" cy="825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Alan H. Auerbach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342900</wp:posOffset>
            </wp:positionV>
            <wp:extent cx="713422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PUMA BIOTECHNOLOGY,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SHARES OF COMMON STOCK</w:t>
      </w:r>
    </w:p>
    <w:p>
      <w:pPr>
        <w:spacing w:after="0" w:line="197" w:lineRule="exact"/>
        <w:rPr>
          <w:sz w:val="20"/>
          <w:szCs w:val="20"/>
          <w:color w:val="auto"/>
        </w:rPr>
      </w:pPr>
    </w:p>
    <w:p>
      <w:pPr>
        <w:jc w:val="both"/>
        <w:ind w:right="20" w:firstLine="640"/>
        <w:spacing w:after="0" w:line="264" w:lineRule="auto"/>
        <w:rPr>
          <w:sz w:val="20"/>
          <w:szCs w:val="20"/>
          <w:color w:val="auto"/>
        </w:rPr>
      </w:pPr>
      <w:r>
        <w:rPr>
          <w:rFonts w:ascii="Times New Roman" w:cs="Times New Roman" w:eastAsia="Times New Roman" w:hAnsi="Times New Roman"/>
          <w:sz w:val="18"/>
          <w:szCs w:val="18"/>
          <w:color w:val="auto"/>
        </w:rPr>
        <w:t>THIS AMENDMENT TO WARRANT TO PURCHASE SHARES OF COMMON STOCK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is made as of March 20, 2026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by and between Puma Biotechnology,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and Alan H. Auerbach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Capitalized terms used and not otherwise defined herein shall have the meanings ascribed to such terms in the Warrant (as defined below).</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0" w:lineRule="exact"/>
        <w:rPr>
          <w:sz w:val="20"/>
          <w:szCs w:val="20"/>
          <w:color w:val="auto"/>
        </w:rPr>
      </w:pPr>
    </w:p>
    <w:p>
      <w:pPr>
        <w:ind w:firstLine="7"/>
        <w:spacing w:after="0" w:line="281" w:lineRule="auto"/>
        <w:tabs>
          <w:tab w:leader="none" w:pos="68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issued to the Holder a Warrant to Purchase Shares of Common Stock, dated October 4, 2011 (the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pursuant to which the Holder may purchase up to 2,116,250 shares of the Company’s common stock with an exercise price of $16.00 per share.</w:t>
      </w:r>
    </w:p>
    <w:p>
      <w:pPr>
        <w:spacing w:after="0" w:line="155" w:lineRule="exact"/>
        <w:rPr>
          <w:rFonts w:ascii="Times New Roman" w:cs="Times New Roman" w:eastAsia="Times New Roman" w:hAnsi="Times New Roman"/>
          <w:sz w:val="18"/>
          <w:szCs w:val="18"/>
          <w:color w:val="auto"/>
        </w:rPr>
      </w:pPr>
    </w:p>
    <w:p>
      <w:pPr>
        <w:ind w:left="760" w:hanging="753"/>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was first amended on April 1, 2021 (the “</w:t>
      </w:r>
      <w:r>
        <w:rPr>
          <w:rFonts w:ascii="Times New Roman" w:cs="Times New Roman" w:eastAsia="Times New Roman" w:hAnsi="Times New Roman"/>
          <w:sz w:val="18"/>
          <w:szCs w:val="18"/>
          <w:b w:val="1"/>
          <w:bCs w:val="1"/>
          <w:i w:val="1"/>
          <w:iCs w:val="1"/>
          <w:color w:val="auto"/>
        </w:rPr>
        <w:t>First Amendment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to extend the term by five years from October 4, 2021 to October 4,</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w:t>
      </w:r>
    </w:p>
    <w:p>
      <w:pPr>
        <w:spacing w:after="0" w:line="200"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First Amendment, the Expiration Date of the Warrant is October 4, 2026.</w:t>
      </w:r>
    </w:p>
    <w:p>
      <w:pPr>
        <w:spacing w:after="0" w:line="219" w:lineRule="exact"/>
        <w:rPr>
          <w:rFonts w:ascii="Times New Roman" w:cs="Times New Roman" w:eastAsia="Times New Roman" w:hAnsi="Times New Roman"/>
          <w:sz w:val="18"/>
          <w:szCs w:val="18"/>
          <w:color w:val="auto"/>
        </w:rPr>
      </w:pPr>
    </w:p>
    <w:p>
      <w:pPr>
        <w:ind w:firstLine="7"/>
        <w:spacing w:after="0" w:line="277" w:lineRule="auto"/>
        <w:tabs>
          <w:tab w:leader="none" w:pos="80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wish to extend the term of the Warrant by two years, subject to approval by the stockholders of the Company on or prior to October 4, 2026.</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parties hereto hereby amend the Warrant as follows:</w:t>
      </w:r>
    </w:p>
    <w:p>
      <w:pPr>
        <w:spacing w:after="0" w:line="220" w:lineRule="exact"/>
        <w:rPr>
          <w:sz w:val="20"/>
          <w:szCs w:val="20"/>
          <w:color w:val="auto"/>
        </w:rPr>
      </w:pPr>
    </w:p>
    <w:p>
      <w:pPr>
        <w:ind w:left="640" w:hanging="633"/>
        <w:spacing w:after="0" w:line="277" w:lineRule="auto"/>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The sixth paragraph of Section 1 of the Warrant (the definition of “Expiration Date”) is hereby deleted and replaced in its entirety with the following:</w:t>
      </w:r>
    </w:p>
    <w:p>
      <w:pPr>
        <w:spacing w:after="0" w:line="158"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October 4, 2028.</w:t>
      </w:r>
    </w:p>
    <w:p>
      <w:pPr>
        <w:spacing w:after="0" w:line="223" w:lineRule="exact"/>
        <w:rPr>
          <w:rFonts w:ascii="Times New Roman" w:cs="Times New Roman" w:eastAsia="Times New Roman" w:hAnsi="Times New Roman"/>
          <w:sz w:val="18"/>
          <w:szCs w:val="18"/>
          <w:color w:val="auto"/>
        </w:rPr>
      </w:pPr>
    </w:p>
    <w:p>
      <w:pPr>
        <w:ind w:left="640" w:hanging="633"/>
        <w:spacing w:after="0" w:line="277" w:lineRule="auto"/>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and, as of the Effective Date, is hereby incorporated in and forms a part of the Warrant; provided that the Amendment shall be subject to approval by the stockholders of the Company on or prior to October 4, 2026.</w:t>
      </w:r>
    </w:p>
    <w:p>
      <w:pPr>
        <w:spacing w:after="0" w:line="162"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herein, all terms and conditions of the Warrant shall remain in full force and effect.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713422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Amendment as of the date first written above.</w:t>
      </w:r>
    </w:p>
    <w:p>
      <w:pPr>
        <w:spacing w:after="0" w:line="220" w:lineRule="exact"/>
        <w:rPr>
          <w:sz w:val="20"/>
          <w:szCs w:val="20"/>
          <w:color w:val="auto"/>
        </w:rPr>
      </w:pPr>
    </w:p>
    <w:p>
      <w:pPr>
        <w:jc w:val="right"/>
        <w:ind w:right="1079"/>
        <w:spacing w:after="0"/>
        <w:rPr>
          <w:sz w:val="20"/>
          <w:szCs w:val="20"/>
          <w:color w:val="auto"/>
        </w:rPr>
      </w:pPr>
      <w:r>
        <w:rPr>
          <w:rFonts w:ascii="Times New Roman" w:cs="Times New Roman" w:eastAsia="Times New Roman" w:hAnsi="Times New Roman"/>
          <w:sz w:val="18"/>
          <w:szCs w:val="18"/>
          <w:b w:val="1"/>
          <w:bCs w:val="1"/>
          <w:color w:val="auto"/>
        </w:rPr>
        <w:t>PUMA BIOTECHNOLOGY, INC.</w:t>
      </w:r>
    </w:p>
    <w:p>
      <w:pPr>
        <w:spacing w:after="0" w:line="200" w:lineRule="exact"/>
        <w:rPr>
          <w:sz w:val="20"/>
          <w:szCs w:val="20"/>
          <w:color w:val="auto"/>
        </w:rPr>
      </w:pPr>
    </w:p>
    <w:p>
      <w:pPr>
        <w:spacing w:after="0" w:line="23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15875</wp:posOffset>
            </wp:positionV>
            <wp:extent cx="28467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46705" cy="825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Alan H. Auerbach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-127635</wp:posOffset>
            </wp:positionV>
            <wp:extent cx="30670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06705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346075</wp:posOffset>
            </wp:positionV>
            <wp:extent cx="713422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96455" cy="9667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6455" cy="966724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96455" cy="93535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6455" cy="9353550"/>
                    </a:xfrm>
                    <a:prstGeom prst="rect">
                      <a:avLst/>
                    </a:prstGeom>
                    <a:noFill/>
                  </pic:spPr>
                </pic:pic>
              </a:graphicData>
            </a:graphic>
          </wp:anchor>
        </w:drawing>
      </w:r>
    </w:p>
    <w:sectPr>
      <w:pgSz w:w="11900" w:h="16838" w:orient="portrait"/>
      <w:cols w:equalWidth="0" w:num="1">
        <w:col w:w="10139"/>
      </w:cols>
      <w:pgMar w:left="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1."/>
      <w:numFmt w:val="decimal"/>
      <w:start w:val="1"/>
    </w:lvl>
  </w:abstractNum>
  <w:abstractNum w:abstractNumId="6">
    <w:nsid w:val="3804823E"/>
    <w:multiLevelType w:val="hybridMultilevel"/>
    <w:lvl w:ilvl="0">
      <w:lvlJc w:val="left"/>
      <w:lvlText w:val="%1."/>
      <w:numFmt w:val="decimal"/>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1)"/>
      <w:numFmt w:val="decimal"/>
      <w:start w:val="1"/>
    </w:lvl>
  </w:abstractNum>
  <w:abstractNum w:abstractNumId="16">
    <w:nsid w:val="3855585C"/>
    <w:multiLevelType w:val="hybridMultilevel"/>
    <w:lvl w:ilvl="0">
      <w:lvlJc w:val="left"/>
      <w:lvlText w:val="(%1)"/>
      <w:numFmt w:val="decimal"/>
      <w:start w:val="1"/>
    </w:lvl>
    <w:lvl w:ilvl="1">
      <w:lvlJc w:val="left"/>
      <w:lvlText w:val="(%2)"/>
      <w:numFmt w:val="lowerRoman"/>
      <w:start w:val="3"/>
    </w:lvl>
  </w:abstractNum>
  <w:abstractNum w:abstractNumId="17">
    <w:nsid w:val="70A64E2A"/>
    <w:multiLevelType w:val="hybridMultilevel"/>
    <w:lvl w:ilvl="0">
      <w:lvlJc w:val="left"/>
      <w:lvlText w:val="%1"/>
      <w:numFmt w:val="decimal"/>
      <w:start w:val="1"/>
    </w:lvl>
    <w:lvl w:ilvl="1">
      <w:lvlJc w:val="left"/>
      <w:lvlText w:val="(%2)"/>
      <w:numFmt w:val="lowerRoman"/>
      <w:start w:val="4"/>
    </w:lvl>
  </w:abstractNum>
  <w:abstractNum w:abstractNumId="18">
    <w:nsid w:val="6A2342EC"/>
    <w:multiLevelType w:val="hybridMultilevel"/>
    <w:lvl w:ilvl="0">
      <w:lvlJc w:val="left"/>
      <w:lvlText w:val="(%1)"/>
      <w:numFmt w:val="decimal"/>
      <w:start w:val="14"/>
    </w:lvl>
    <w:lvl w:ilvl="1">
      <w:lvlJc w:val="left"/>
      <w:lvlText w:val="%2"/>
      <w:numFmt w:val="lowerRoman"/>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1)"/>
      <w:numFmt w:val="decimal"/>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1)"/>
      <w:numFmt w:val="decimal"/>
      <w:start w:val="1"/>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1)"/>
      <w:numFmt w:val="decimal"/>
      <w:start w:val="1"/>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1)"/>
      <w:numFmt w:val="decimal"/>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1)"/>
      <w:numFmt w:val="decimal"/>
      <w:start w:val="1"/>
    </w:lvl>
  </w:abstractNum>
  <w:abstractNum w:abstractNumId="48">
    <w:nsid w:val="180115BE"/>
    <w:multiLevelType w:val="hybridMultilevel"/>
    <w:lvl w:ilvl="0">
      <w:lvlJc w:val="left"/>
      <w:lvlText w:val="(%1)"/>
      <w:numFmt w:val="lowerLetter"/>
      <w:start w:val="3"/>
    </w:lvl>
  </w:abstractNum>
  <w:abstractNum w:abstractNumId="49">
    <w:nsid w:val="235BA861"/>
    <w:multiLevelType w:val="hybridMultilevel"/>
    <w:lvl w:ilvl="0">
      <w:lvlJc w:val="left"/>
      <w:lvlText w:val="(%1)"/>
      <w:numFmt w:val="lowerLetter"/>
      <w:start w:val="5"/>
    </w:lvl>
  </w:abstractNum>
  <w:abstractNum w:abstractNumId="50">
    <w:nsid w:val="47398C89"/>
    <w:multiLevelType w:val="hybridMultilevel"/>
    <w:lvl w:ilvl="0">
      <w:lvlJc w:val="left"/>
      <w:lvlText w:val="(%1)"/>
      <w:numFmt w:val="decimal"/>
      <w:start w:val="3"/>
    </w:lvl>
    <w:lvl w:ilvl="1">
      <w:lvlJc w:val="left"/>
      <w:lvlText w:val="•"/>
      <w:numFmt w:val="bullet"/>
      <w:start w:val="1"/>
    </w:lvl>
  </w:abstractNum>
  <w:abstractNum w:abstractNumId="51">
    <w:nsid w:val="354FE9F9"/>
    <w:multiLevelType w:val="hybridMultilevel"/>
    <w:lvl w:ilvl="0">
      <w:lvlJc w:val="left"/>
      <w:lvlText w:val="(%1)"/>
      <w:numFmt w:val="decimal"/>
      <w:start w:val="5"/>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1."/>
      <w:numFmt w:val="decimal"/>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1."/>
      <w:numFmt w:val="decimal"/>
      <w:start w:val="2"/>
    </w:lvl>
  </w:abstractNum>
  <w:abstractNum w:abstractNumId="57">
    <w:nsid w:val="61574095"/>
    <w:multiLevelType w:val="hybridMultilevel"/>
    <w:lvl w:ilvl="0">
      <w:lvlJc w:val="left"/>
      <w:lvlText w:val="(%1)"/>
      <w:numFmt w:val="lowerLetter"/>
      <w:start w:val="2"/>
    </w:lvl>
  </w:abstractNum>
  <w:abstractNum w:abstractNumId="58">
    <w:nsid w:val="7E0C57B1"/>
    <w:multiLevelType w:val="hybridMultilevel"/>
    <w:lvl w:ilvl="0">
      <w:lvlJc w:val="left"/>
      <w:lvlText w:val="%1."/>
      <w:numFmt w:val="decimal"/>
      <w:start w:val="3"/>
    </w:lvl>
  </w:abstractNum>
  <w:abstractNum w:abstractNumId="59">
    <w:nsid w:val="77AE35EB"/>
    <w:multiLevelType w:val="hybridMultilevel"/>
    <w:lvl w:ilvl="0">
      <w:lvlJc w:val="left"/>
      <w:lvlText w:val="%1."/>
      <w:numFmt w:val="decimal"/>
      <w:start w:val="4"/>
    </w:lvl>
  </w:abstractNum>
  <w:abstractNum w:abstractNumId="60">
    <w:nsid w:val="579BE4F1"/>
    <w:multiLevelType w:val="hybridMultilevel"/>
    <w:lvl w:ilvl="0">
      <w:lvlJc w:val="left"/>
      <w:lvlText w:val="(%1)"/>
      <w:numFmt w:val="decimal"/>
      <w:start w:val="1"/>
    </w:lvl>
    <w:lvl w:ilvl="1">
      <w:lvlJc w:val="left"/>
      <w:lvlText w:val="☐"/>
      <w:numFmt w:val="bullet"/>
      <w:start w:val="1"/>
    </w:lvl>
  </w:abstractNum>
  <w:abstractNum w:abstractNumId="61">
    <w:nsid w:val="310C50B3"/>
    <w:multiLevelType w:val="hybridMultilevel"/>
    <w:lvl w:ilvl="0">
      <w:lvlJc w:val="left"/>
      <w:lvlText w:val="(%1)"/>
      <w:numFmt w:val="decimal"/>
      <w:start w:val="3"/>
    </w:lvl>
  </w:abstractNum>
  <w:abstractNum w:abstractNumId="62">
    <w:nsid w:val="5FF87E05"/>
    <w:multiLevelType w:val="hybridMultilevel"/>
    <w:lvl w:ilvl="0">
      <w:lvlJc w:val="left"/>
      <w:lvlText w:val="%1."/>
      <w:numFmt w:val="upperLetter"/>
      <w:start w:val="1"/>
    </w:lvl>
  </w:abstractNum>
  <w:abstractNum w:abstractNumId="63">
    <w:nsid w:val="2F305DEF"/>
    <w:multiLevelType w:val="hybridMultilevel"/>
    <w:lvl w:ilvl="0">
      <w:lvlJc w:val="left"/>
      <w:lvlText w:val="%1."/>
      <w:numFmt w:val="decimal"/>
      <w:start w:val="1"/>
    </w:lvl>
  </w:abstractNum>
  <w:abstractNum w:abstractNumId="64">
    <w:nsid w:val="25A70BF7"/>
    <w:multiLevelType w:val="hybridMultilevel"/>
    <w:lvl w:ilvl="0">
      <w:lvlJc w:val="left"/>
      <w:lvlText w:val="%1."/>
      <w:numFmt w:val="upperLetter"/>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2026-04-28T16:18:28Z</dcterms:created>
  <dcterms:modified xsi:type="dcterms:W3CDTF">2026-04-28T16:18:28Z</dcterms:modified>
</cp:coreProperties>
</file>