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Senderowicz Adrian</w:t>
              </w:r>
            </w:hyperlink>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20" w:type="dxa"/>
            <w:vAlign w:val="bottom"/>
            <w:gridSpan w:val="14"/>
          </w:tcPr>
          <w:p>
            <w:pPr>
              <w:spacing w:after="0" w:line="186"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PUMA BIOTECHNOLOGY,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PBYI</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Arial" w:cs="Arial" w:eastAsia="Arial" w:hAnsi="Arial"/>
                <w:sz w:val="21"/>
                <w:szCs w:val="21"/>
                <w:color w:val="000000"/>
                <w:vertAlign w:val="superscript"/>
              </w:rPr>
              <w:t>(Check all applicable)</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PUMA BIOTECHNOLOGY, INC.</w:t>
            </w: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10880 WILSHIRE BOULEVARD, SUITE 1700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gridSpan w:val="2"/>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9"/>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48"/>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27,000</w:t>
            </w: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3"/>
          </w:tcPr>
          <w:p>
            <w:pPr>
              <w:jc w:val="center"/>
              <w:ind w:right="4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54,000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48"/>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27,000</w:t>
            </w: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7.1967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4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5"/>
                <w:szCs w:val="15"/>
                <w:color w:val="auto"/>
              </w:rPr>
            </w:pP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2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in full on the earlier of the one-year anniversary of the date of grant and the date of the annual shareholder meeting following the date of grant, subject to the Reporting Person's continued service with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Adoption date of referenced 10b5-1(c) plan is: 03-12-2025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$6.98 to $7.32,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Gordon Esplin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Adrian</w:t>
      </w:r>
      <w:r>
        <w:rPr>
          <w:sz w:val="20"/>
          <w:szCs w:val="20"/>
          <w:color w:val="auto"/>
        </w:rPr>
        <w:tab/>
      </w: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75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759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Senderowicz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67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676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16230" TargetMode="External"/><Relationship Id="rId14" Type="http://schemas.openxmlformats.org/officeDocument/2006/relationships/hyperlink" Target="http://www.sec.gov/cgi-bin/browse-edgar?action=getcompany&amp;CIK=0001401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2026-06-15T19:14:55Z</dcterms:created>
  <dcterms:modified xsi:type="dcterms:W3CDTF">2026-06-15T19:14:55Z</dcterms:modified>
</cp:coreProperties>
</file>