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PUMA BIOTECHNOLOGY,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001-35703</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77-0683487</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10880 Wilshire Boulevard, Suite 1700</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 Angeles, California 90024</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(424) 248-6500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176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w:t>
            </w:r>
          </w:p>
        </w:tc>
        <w:tc>
          <w:tcPr>
            <w:tcW w:w="12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87"/>
        </w:trPr>
        <w:tc>
          <w:tcPr>
            <w:tcW w:w="5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PBYI</w:t>
            </w:r>
          </w:p>
        </w:tc>
        <w:tc>
          <w:tcPr>
            <w:tcW w:w="1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3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Puma Biotechnology, Inc., a Delaware corporation (the “Company”) held the 2026 Annual Meeting of Stockholders (the “2026 Annual Meeting”) on June 11, 2026 at the Company’s principal executive offices, 10880 Wilshire Blvd., Suite 1700, Los Angeles, California.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proposals were voted upon at the 2026 Annual Meeting, and the final voting results with respect to each such proposal are set forth below:</w:t>
      </w:r>
    </w:p>
    <w:p>
      <w:pPr>
        <w:spacing w:after="0" w:line="158" w:lineRule="exact"/>
        <w:rPr>
          <w:sz w:val="20"/>
          <w:szCs w:val="20"/>
          <w:color w:val="auto"/>
        </w:rPr>
      </w:pPr>
    </w:p>
    <w:p>
      <w:pPr>
        <w:jc w:val="both"/>
        <w:ind w:left="130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8"/>
          <w:szCs w:val="18"/>
          <w:color w:val="auto"/>
        </w:rPr>
        <w:t>The Company’s stockholders elected the eight nominated directors identified below, each to serve and to hold office for a one-year term until the close of the Company’s next annual meeting of stockholders in 2027 and until their successors have been duly elected and qualified or until their earlier resignation or removal.</w:t>
      </w:r>
    </w:p>
    <w:p>
      <w:pPr>
        <w:spacing w:after="0" w:line="175" w:lineRule="exact"/>
        <w:rPr>
          <w:sz w:val="20"/>
          <w:szCs w:val="20"/>
          <w:color w:val="auto"/>
        </w:rPr>
      </w:pPr>
    </w:p>
    <w:tbl>
      <w:tblPr>
        <w:tblLayout w:type="fixed"/>
        <w:tblInd w:w="1130" w:type="dxa"/>
        <w:tblCellMar>
          <w:top w:w="0" w:type="dxa"/>
          <w:left w:w="0" w:type="dxa"/>
          <w:bottom w:w="0" w:type="dxa"/>
          <w:right w:w="0" w:type="dxa"/>
        </w:tblCellMar>
      </w:tblPr>
      <w:tr>
        <w:trPr>
          <w:trHeight w:val="210"/>
        </w:trPr>
        <w:tc>
          <w:tcPr>
            <w:tcW w:w="268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2400" w:type="dxa"/>
            <w:vAlign w:val="bottom"/>
            <w:tcBorders>
              <w:top w:val="single" w:sz="8" w:color="auto"/>
              <w:right w:val="single" w:sz="8" w:color="auto"/>
            </w:tcBorders>
            <w:shd w:val="clear" w:color="auto" w:fill="E6E6E6"/>
          </w:tcPr>
          <w:p>
            <w:pPr>
              <w:spacing w:after="0"/>
              <w:rPr>
                <w:sz w:val="18"/>
                <w:szCs w:val="18"/>
                <w:color w:val="auto"/>
              </w:rPr>
            </w:pPr>
          </w:p>
        </w:tc>
        <w:tc>
          <w:tcPr>
            <w:tcW w:w="1780" w:type="dxa"/>
            <w:vAlign w:val="bottom"/>
            <w:tcBorders>
              <w:top w:val="single" w:sz="8" w:color="auto"/>
              <w:right w:val="single" w:sz="8" w:color="auto"/>
            </w:tcBorders>
            <w:shd w:val="clear" w:color="auto" w:fill="E6E6E6"/>
          </w:tcPr>
          <w:p>
            <w:pPr>
              <w:spacing w:after="0"/>
              <w:rPr>
                <w:sz w:val="18"/>
                <w:szCs w:val="18"/>
                <w:color w:val="auto"/>
              </w:rPr>
            </w:pPr>
          </w:p>
        </w:tc>
        <w:tc>
          <w:tcPr>
            <w:tcW w:w="212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55"/>
        </w:trPr>
        <w:tc>
          <w:tcPr>
            <w:tcW w:w="2680" w:type="dxa"/>
            <w:vAlign w:val="bottom"/>
            <w:tcBorders>
              <w:left w:val="single" w:sz="8" w:color="auto"/>
              <w:bottom w:val="single" w:sz="8" w:color="auto"/>
              <w:right w:val="single" w:sz="8" w:color="auto"/>
            </w:tcBorders>
            <w:shd w:val="clear" w:color="auto" w:fill="E6E6E6"/>
          </w:tcPr>
          <w:p>
            <w:pPr>
              <w:ind w:left="10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80" w:type="dxa"/>
            <w:vAlign w:val="bottom"/>
            <w:tcBorders>
              <w:bottom w:val="single" w:sz="8" w:color="auto"/>
              <w:right w:val="single" w:sz="8" w:color="auto"/>
            </w:tcBorders>
            <w:shd w:val="clear" w:color="auto" w:fill="E6E6E6"/>
          </w:tcPr>
          <w:p>
            <w:pPr>
              <w:ind w:left="5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12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193"/>
        </w:trPr>
        <w:tc>
          <w:tcPr>
            <w:tcW w:w="26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Alan H. Auerbach</w:t>
            </w:r>
          </w:p>
        </w:tc>
        <w:tc>
          <w:tcPr>
            <w:tcW w:w="2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37,130,678</w:t>
            </w:r>
          </w:p>
        </w:tc>
        <w:tc>
          <w:tcPr>
            <w:tcW w:w="17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785,624</w:t>
            </w:r>
          </w:p>
        </w:tc>
        <w:tc>
          <w:tcPr>
            <w:tcW w:w="2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6,064,713</w:t>
            </w:r>
          </w:p>
        </w:tc>
      </w:tr>
      <w:tr>
        <w:trPr>
          <w:trHeight w:val="210"/>
        </w:trPr>
        <w:tc>
          <w:tcPr>
            <w:tcW w:w="26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Alessandra Cesano</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37,472,173</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444,129</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6,064,713</w:t>
            </w:r>
          </w:p>
        </w:tc>
      </w:tr>
      <w:tr>
        <w:trPr>
          <w:trHeight w:val="209"/>
        </w:trPr>
        <w:tc>
          <w:tcPr>
            <w:tcW w:w="26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Allison Dorval</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37,447,432</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468,870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6,064,713</w:t>
            </w:r>
          </w:p>
        </w:tc>
      </w:tr>
      <w:tr>
        <w:trPr>
          <w:trHeight w:val="209"/>
        </w:trPr>
        <w:tc>
          <w:tcPr>
            <w:tcW w:w="26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P. Miller</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37,220,974</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695,328</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6,064,713</w:t>
            </w:r>
          </w:p>
        </w:tc>
      </w:tr>
      <w:tr>
        <w:trPr>
          <w:trHeight w:val="210"/>
        </w:trPr>
        <w:tc>
          <w:tcPr>
            <w:tcW w:w="26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Jay M. Moyes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36,586,798</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1,329,504</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6,064,713</w:t>
            </w:r>
          </w:p>
        </w:tc>
      </w:tr>
      <w:tr>
        <w:trPr>
          <w:trHeight w:val="209"/>
        </w:trPr>
        <w:tc>
          <w:tcPr>
            <w:tcW w:w="26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Adrian M. Senderowicz</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37,217,253</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699,049</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6,064,713</w:t>
            </w:r>
          </w:p>
        </w:tc>
      </w:tr>
      <w:tr>
        <w:trPr>
          <w:trHeight w:val="210"/>
        </w:trPr>
        <w:tc>
          <w:tcPr>
            <w:tcW w:w="26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Brian Stuglik</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37,372,588</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543,714</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6,064,713</w:t>
            </w:r>
          </w:p>
        </w:tc>
      </w:tr>
      <w:tr>
        <w:trPr>
          <w:trHeight w:val="209"/>
        </w:trPr>
        <w:tc>
          <w:tcPr>
            <w:tcW w:w="26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Troy E. Wilson</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32,546,955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5,369,347</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6,064,713</w:t>
            </w:r>
          </w:p>
        </w:tc>
      </w:tr>
    </w:tbl>
    <w:p>
      <w:pPr>
        <w:spacing w:after="0" w:line="194" w:lineRule="exact"/>
        <w:rPr>
          <w:sz w:val="20"/>
          <w:szCs w:val="20"/>
          <w:color w:val="auto"/>
        </w:rPr>
      </w:pPr>
    </w:p>
    <w:p>
      <w:pPr>
        <w:jc w:val="both"/>
        <w:ind w:left="1300" w:right="2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8"/>
          <w:szCs w:val="18"/>
          <w:color w:val="auto"/>
        </w:rPr>
        <w:t>The Company’s stockholders ratified the selection of KPMG LLP as the Company’s independent registered accounting firm for the fiscal year ending December 31, 2026.</w:t>
      </w:r>
    </w:p>
    <w:p>
      <w:pPr>
        <w:spacing w:after="0" w:line="161" w:lineRule="exact"/>
        <w:rPr>
          <w:sz w:val="20"/>
          <w:szCs w:val="20"/>
          <w:color w:val="auto"/>
        </w:rPr>
      </w:pPr>
    </w:p>
    <w:tbl>
      <w:tblPr>
        <w:tblLayout w:type="fixed"/>
        <w:tblInd w:w="1430" w:type="dxa"/>
        <w:tblCellMar>
          <w:top w:w="0" w:type="dxa"/>
          <w:left w:w="0" w:type="dxa"/>
          <w:bottom w:w="0" w:type="dxa"/>
          <w:right w:w="0" w:type="dxa"/>
        </w:tblCellMar>
      </w:tblPr>
      <w:tr>
        <w:trPr>
          <w:trHeight w:val="210"/>
        </w:trPr>
        <w:tc>
          <w:tcPr>
            <w:tcW w:w="212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55"/>
        </w:trPr>
        <w:tc>
          <w:tcPr>
            <w:tcW w:w="212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193"/>
        </w:trPr>
        <w:tc>
          <w:tcPr>
            <w:tcW w:w="2120" w:type="dxa"/>
            <w:vAlign w:val="bottom"/>
            <w:tcBorders>
              <w:left w:val="single" w:sz="8" w:color="auto"/>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color w:val="auto"/>
              </w:rPr>
              <w:t>42,612,940</w:t>
            </w:r>
          </w:p>
        </w:tc>
        <w:tc>
          <w:tcPr>
            <w:tcW w:w="2100" w:type="dxa"/>
            <w:vAlign w:val="bottom"/>
            <w:tcBorders>
              <w:bottom w:val="single" w:sz="8" w:color="auto"/>
              <w:right w:val="single" w:sz="8" w:color="auto"/>
            </w:tcBorders>
          </w:tcPr>
          <w:p>
            <w:pPr>
              <w:jc w:val="right"/>
              <w:ind w:right="610"/>
              <w:spacing w:after="0" w:line="193" w:lineRule="exact"/>
              <w:rPr>
                <w:sz w:val="20"/>
                <w:szCs w:val="20"/>
                <w:color w:val="auto"/>
              </w:rPr>
            </w:pPr>
            <w:r>
              <w:rPr>
                <w:rFonts w:ascii="Times New Roman" w:cs="Times New Roman" w:eastAsia="Times New Roman" w:hAnsi="Times New Roman"/>
                <w:sz w:val="18"/>
                <w:szCs w:val="18"/>
                <w:color w:val="auto"/>
              </w:rPr>
              <w:t>1,328,476</w:t>
            </w:r>
          </w:p>
        </w:tc>
        <w:tc>
          <w:tcPr>
            <w:tcW w:w="2100" w:type="dxa"/>
            <w:vAlign w:val="bottom"/>
            <w:tcBorders>
              <w:bottom w:val="single" w:sz="8" w:color="auto"/>
              <w:right w:val="single" w:sz="8" w:color="auto"/>
            </w:tcBorders>
          </w:tcPr>
          <w:p>
            <w:pPr>
              <w:jc w:val="right"/>
              <w:ind w:right="710"/>
              <w:spacing w:after="0" w:line="193" w:lineRule="exact"/>
              <w:rPr>
                <w:sz w:val="20"/>
                <w:szCs w:val="20"/>
                <w:color w:val="auto"/>
              </w:rPr>
            </w:pPr>
            <w:r>
              <w:rPr>
                <w:rFonts w:ascii="Times New Roman" w:cs="Times New Roman" w:eastAsia="Times New Roman" w:hAnsi="Times New Roman"/>
                <w:sz w:val="18"/>
                <w:szCs w:val="18"/>
                <w:color w:val="auto"/>
              </w:rPr>
              <w:t>39,599</w:t>
            </w:r>
          </w:p>
        </w:tc>
        <w:tc>
          <w:tcPr>
            <w:tcW w:w="2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0</w:t>
            </w: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color w:val="auto"/>
        </w:rPr>
        <w:t>The Company’s stockholders voted to approve, on an advisory basis, the compensation of the Company’s named executive officers.</w:t>
      </w:r>
    </w:p>
    <w:p>
      <w:pPr>
        <w:spacing w:after="0" w:line="224" w:lineRule="exact"/>
        <w:rPr>
          <w:sz w:val="20"/>
          <w:szCs w:val="20"/>
          <w:color w:val="auto"/>
        </w:rPr>
      </w:pPr>
    </w:p>
    <w:tbl>
      <w:tblPr>
        <w:tblLayout w:type="fixed"/>
        <w:tblInd w:w="1430" w:type="dxa"/>
        <w:tblCellMar>
          <w:top w:w="0" w:type="dxa"/>
          <w:left w:w="0" w:type="dxa"/>
          <w:bottom w:w="0" w:type="dxa"/>
          <w:right w:w="0" w:type="dxa"/>
        </w:tblCellMar>
      </w:tblPr>
      <w:tr>
        <w:trPr>
          <w:trHeight w:val="210"/>
        </w:trPr>
        <w:tc>
          <w:tcPr>
            <w:tcW w:w="212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55"/>
        </w:trPr>
        <w:tc>
          <w:tcPr>
            <w:tcW w:w="212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00" w:type="dxa"/>
            <w:vAlign w:val="bottom"/>
            <w:tcBorders>
              <w:bottom w:val="single" w:sz="8" w:color="auto"/>
              <w:right w:val="single" w:sz="8" w:color="auto"/>
            </w:tcBorders>
            <w:shd w:val="clear" w:color="auto" w:fill="E6E6E6"/>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193"/>
        </w:trPr>
        <w:tc>
          <w:tcPr>
            <w:tcW w:w="2120" w:type="dxa"/>
            <w:vAlign w:val="bottom"/>
            <w:tcBorders>
              <w:left w:val="single" w:sz="8" w:color="auto"/>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color w:val="auto"/>
              </w:rPr>
              <w:t>29,326,673</w:t>
            </w:r>
          </w:p>
        </w:tc>
        <w:tc>
          <w:tcPr>
            <w:tcW w:w="2100" w:type="dxa"/>
            <w:vAlign w:val="bottom"/>
            <w:tcBorders>
              <w:bottom w:val="single" w:sz="8" w:color="auto"/>
              <w:right w:val="single" w:sz="8" w:color="auto"/>
            </w:tcBorders>
          </w:tcPr>
          <w:p>
            <w:pPr>
              <w:jc w:val="right"/>
              <w:ind w:right="610"/>
              <w:spacing w:after="0" w:line="193" w:lineRule="exact"/>
              <w:rPr>
                <w:sz w:val="20"/>
                <w:szCs w:val="20"/>
                <w:color w:val="auto"/>
              </w:rPr>
            </w:pPr>
            <w:r>
              <w:rPr>
                <w:rFonts w:ascii="Times New Roman" w:cs="Times New Roman" w:eastAsia="Times New Roman" w:hAnsi="Times New Roman"/>
                <w:sz w:val="18"/>
                <w:szCs w:val="18"/>
                <w:color w:val="auto"/>
              </w:rPr>
              <w:t>7,878,580</w:t>
            </w:r>
          </w:p>
        </w:tc>
        <w:tc>
          <w:tcPr>
            <w:tcW w:w="2100" w:type="dxa"/>
            <w:vAlign w:val="bottom"/>
            <w:tcBorders>
              <w:bottom w:val="single" w:sz="8" w:color="auto"/>
              <w:right w:val="single" w:sz="8" w:color="auto"/>
            </w:tcBorders>
          </w:tcPr>
          <w:p>
            <w:pPr>
              <w:ind w:left="760"/>
              <w:spacing w:after="0" w:line="193" w:lineRule="exact"/>
              <w:rPr>
                <w:sz w:val="20"/>
                <w:szCs w:val="20"/>
                <w:color w:val="auto"/>
              </w:rPr>
            </w:pPr>
            <w:r>
              <w:rPr>
                <w:rFonts w:ascii="Times New Roman" w:cs="Times New Roman" w:eastAsia="Times New Roman" w:hAnsi="Times New Roman"/>
                <w:sz w:val="18"/>
                <w:szCs w:val="18"/>
                <w:color w:val="auto"/>
              </w:rPr>
              <w:t>711,049</w:t>
            </w:r>
          </w:p>
        </w:tc>
        <w:tc>
          <w:tcPr>
            <w:tcW w:w="2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0</w:t>
            </w:r>
          </w:p>
        </w:tc>
      </w:tr>
    </w:tbl>
    <w:p>
      <w:pPr>
        <w:spacing w:after="0" w:line="194" w:lineRule="exact"/>
        <w:rPr>
          <w:sz w:val="20"/>
          <w:szCs w:val="20"/>
          <w:color w:val="auto"/>
        </w:rPr>
      </w:pPr>
    </w:p>
    <w:p>
      <w:pPr>
        <w:jc w:val="both"/>
        <w:ind w:left="1300" w:hanging="1295"/>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8"/>
          <w:szCs w:val="18"/>
          <w:color w:val="auto"/>
        </w:rPr>
        <w:t>The Company’s stockholders did not approve an amendment to the terms of the warrant, issued to Alan H. Auerbach, President and Chief Executive Officer of the Company on October 4, 2011, as amended on June 15, 2021, to purchase 2,116,250 shares of the Company’s common stock at $16.00 per share (the “Auerbach Warrant”), to extend the term of the Auerbach Warrant from October 4, 2026 until October 4, 2028.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Borders>
              <w:right w:val="single" w:sz="8" w:color="auto"/>
            </w:tcBorders>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spacing w:after="0"/>
              <w:rPr>
                <w:sz w:val="18"/>
                <w:szCs w:val="18"/>
                <w:color w:val="auto"/>
              </w:rPr>
            </w:pPr>
          </w:p>
        </w:tc>
        <w:tc>
          <w:tcPr>
            <w:tcW w:w="2100" w:type="dxa"/>
            <w:vAlign w:val="bottom"/>
            <w:tcBorders>
              <w:top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400" w:type="dxa"/>
            <w:vAlign w:val="bottom"/>
          </w:tcPr>
          <w:p>
            <w:pPr>
              <w:spacing w:after="0"/>
              <w:rPr>
                <w:sz w:val="18"/>
                <w:szCs w:val="18"/>
                <w:color w:val="auto"/>
              </w:rPr>
            </w:pPr>
          </w:p>
        </w:tc>
      </w:tr>
      <w:tr>
        <w:trPr>
          <w:trHeight w:val="255"/>
        </w:trPr>
        <w:tc>
          <w:tcPr>
            <w:tcW w:w="1440" w:type="dxa"/>
            <w:vAlign w:val="bottom"/>
            <w:tcBorders>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1400" w:type="dxa"/>
            <w:vAlign w:val="bottom"/>
          </w:tcPr>
          <w:p>
            <w:pPr>
              <w:spacing w:after="0"/>
              <w:rPr>
                <w:sz w:val="22"/>
                <w:szCs w:val="22"/>
                <w:color w:val="auto"/>
              </w:rPr>
            </w:pPr>
          </w:p>
        </w:tc>
      </w:tr>
      <w:tr>
        <w:trPr>
          <w:trHeight w:val="193"/>
        </w:trPr>
        <w:tc>
          <w:tcPr>
            <w:tcW w:w="1440" w:type="dxa"/>
            <w:vAlign w:val="bottom"/>
            <w:tcBorders>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color w:val="auto"/>
              </w:rPr>
              <w:t>18,234,150</w:t>
            </w:r>
          </w:p>
        </w:tc>
        <w:tc>
          <w:tcPr>
            <w:tcW w:w="210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color w:val="auto"/>
              </w:rPr>
              <w:t>19,596,238</w:t>
            </w:r>
          </w:p>
        </w:tc>
        <w:tc>
          <w:tcPr>
            <w:tcW w:w="2100" w:type="dxa"/>
            <w:vAlign w:val="bottom"/>
            <w:tcBorders>
              <w:bottom w:val="single" w:sz="8" w:color="auto"/>
              <w:right w:val="single" w:sz="8" w:color="auto"/>
            </w:tcBorders>
          </w:tcPr>
          <w:p>
            <w:pPr>
              <w:jc w:val="right"/>
              <w:ind w:right="710"/>
              <w:spacing w:after="0" w:line="193" w:lineRule="exact"/>
              <w:rPr>
                <w:sz w:val="20"/>
                <w:szCs w:val="20"/>
                <w:color w:val="auto"/>
              </w:rPr>
            </w:pPr>
            <w:r>
              <w:rPr>
                <w:rFonts w:ascii="Times New Roman" w:cs="Times New Roman" w:eastAsia="Times New Roman" w:hAnsi="Times New Roman"/>
                <w:sz w:val="18"/>
                <w:szCs w:val="18"/>
                <w:color w:val="auto"/>
              </w:rPr>
              <w:t>85,914</w:t>
            </w:r>
          </w:p>
        </w:tc>
        <w:tc>
          <w:tcPr>
            <w:tcW w:w="2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0</w:t>
            </w:r>
          </w:p>
        </w:tc>
        <w:tc>
          <w:tcPr>
            <w:tcW w:w="1400" w:type="dxa"/>
            <w:vAlign w:val="bottom"/>
          </w:tcPr>
          <w:p>
            <w:pPr>
              <w:spacing w:after="0"/>
              <w:rPr>
                <w:sz w:val="16"/>
                <w:szCs w:val="16"/>
                <w:color w:val="auto"/>
              </w:rPr>
            </w:pPr>
          </w:p>
        </w:tc>
      </w:tr>
      <w:tr>
        <w:trPr>
          <w:trHeight w:val="568"/>
        </w:trPr>
        <w:tc>
          <w:tcPr>
            <w:tcW w:w="1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PUMA BIOTECHNOLOGY,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H. Auerbach</w:t>
            </w:r>
          </w:p>
        </w:tc>
      </w:tr>
      <w:tr>
        <w:trPr>
          <w:trHeight w:val="191"/>
        </w:trPr>
        <w:tc>
          <w:tcPr>
            <w:tcW w:w="33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Alan H. Auerbach</w:t>
            </w:r>
          </w:p>
        </w:tc>
      </w:tr>
      <w:tr>
        <w:trPr>
          <w:trHeight w:val="234"/>
        </w:trPr>
        <w:tc>
          <w:tcPr>
            <w:tcW w:w="33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2026-06-16T15:10:17Z</dcterms:created>
  <dcterms:modified xsi:type="dcterms:W3CDTF">2026-06-16T15:10:17Z</dcterms:modified>
</cp:coreProperties>
</file>