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byi20251231_10k.htm"/>
      <w:bookmarkStart w:id="1" w:name="kspbyi20251231_10k"/>
      <w:bookmarkEnd w:id="0"/>
      <w:bookmarkEnd w:id="1"/>
      <w:r>
        <w:rPr/>
        <w:t xml:space="preserve">  </w:t>
      </w:r>
    </w:p>
    <w:p>
      <w:pPr>
        <w:pStyle w:val="TextBody"/>
        <w:bidi w:val="0"/>
        <w:spacing w:before="0" w:after="0"/>
        <w:ind w:left="180" w:right="0" w:hanging="180"/>
        <w:jc w:val="left"/>
        <w:rPr/>
      </w:pPr>
      <w:hyperlink w:anchor="toc">
        <w:r>
          <w:rPr>
            <w:rStyle w:val="InternetLink"/>
            <w:rFonts w:ascii="Times New Roman" w:hAnsi="Times New Roman"/>
            <w:sz w:val="20"/>
            <w:shd w:fill="FFFFFF" w:val="clear"/>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 10-K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(Mark One) </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500" w:right="0" w:hanging="5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500" w:right="0" w:hanging="5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001-35703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PUMA BIOTECHNOLOGY,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77-0683487</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10880 Wilshire Boulevard, Suite 1700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Los Angeles, CA 90024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(424) 248-6500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(Address, including zip code, and telephone number, including area code, of registrant’s principal executive offices)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3605"/>
        <w:gridCol w:w="1385"/>
        <w:gridCol w:w="3695"/>
      </w:tblGrid>
      <w:tr>
        <w:trPr/>
        <w:tc>
          <w:tcPr>
            <w:tcW w:w="36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38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36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PBYI</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12(g) of the Act: 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20"/>
        <w:gridCol w:w="60"/>
        <w:gridCol w:w="230"/>
        <w:gridCol w:w="60"/>
        <w:gridCol w:w="2225"/>
        <w:gridCol w:w="6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The aggregate market value of voting stock held by non-affiliates of the registrant was approximately $145.2 million</w:t>
      </w:r>
      <w:r>
        <w:rPr>
          <w:rFonts w:ascii="Times New Roman" w:hAnsi="Times New Roman"/>
          <w:caps w:val="false"/>
          <w:smallCaps w:val="false"/>
          <w:sz w:val="20"/>
        </w:rPr>
        <w:t xml:space="preserve"> as of June 30, 2025, based</w:t>
      </w:r>
      <w:r>
        <w:rPr>
          <w:rFonts w:ascii="Times New Roman" w:hAnsi="Times New Roman"/>
          <w:caps w:val="false"/>
          <w:smallCaps w:val="false"/>
          <w:sz w:val="20"/>
          <w:shd w:fill="FFFFFF" w:val="clear"/>
        </w:rPr>
        <w:t xml:space="preserve"> upon the closing price o</w:t>
      </w:r>
      <w:r>
        <w:rPr>
          <w:rFonts w:ascii="Times New Roman" w:hAnsi="Times New Roman"/>
          <w:caps w:val="false"/>
          <w:smallCaps w:val="false"/>
          <w:sz w:val="20"/>
        </w:rPr>
        <w:t>f $3.43 per sha</w:t>
      </w:r>
      <w:r>
        <w:rPr>
          <w:rFonts w:ascii="Times New Roman" w:hAnsi="Times New Roman"/>
          <w:caps w:val="false"/>
          <w:smallCaps w:val="false"/>
          <w:sz w:val="20"/>
          <w:shd w:fill="FFFFFF" w:val="clear"/>
        </w:rPr>
        <w:t xml:space="preserve">re of the registrant’s common stock on the NASDAQ Global Select Market on Monday, June 30, 2025, the last business day of the registrant’s most recently completed second fiscal quarter. Shares of common stock held by each executive officer, director and holder of 10% or more of the outstanding common stock have been excluded in that such persons may be deemed to be affiliates. This determination of affiliate status is not necessarily a conclusive determination for other purposes. As of February 23, 2026, there were </w:t>
      </w:r>
      <w:r>
        <w:rPr>
          <w:rFonts w:ascii="Times New Roman" w:hAnsi="Times New Roman"/>
          <w:caps w:val="false"/>
          <w:smallCaps w:val="false"/>
          <w:sz w:val="20"/>
        </w:rPr>
        <w:t>50,876,487</w:t>
      </w:r>
      <w:r>
        <w:rPr>
          <w:rFonts w:ascii="Times New Roman" w:hAnsi="Times New Roman"/>
          <w:caps w:val="false"/>
          <w:smallCaps w:val="false"/>
          <w:sz w:val="20"/>
          <w:shd w:fill="FFFFFF" w:val="clear"/>
        </w:rPr>
        <w:t> shares of the registrant’s common stock outstanding.</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Portions of the proxy statement for the registrant’s 2026 Annual Meeting of Stockholders (the “2026 Proxy Statement”), are incorporated by reference into Part III of this Annual Report on Form 10-K to the extent stated herein.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0"/>
        <w:gridCol w:w="60"/>
        <w:gridCol w:w="8804"/>
        <w:gridCol w:w="60"/>
        <w:gridCol w:w="441"/>
      </w:tblGrid>
      <w:tr>
        <w:trPr/>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40" w:type="dxa"/>
            <w:tcBorders/>
            <w:vAlign w:val="center"/>
          </w:tcPr>
          <w:p>
            <w:pPr>
              <w:pStyle w:val="TableContents"/>
              <w:bidi w:val="0"/>
              <w:spacing w:before="0" w:after="0"/>
              <w:ind w:left="240" w:right="0" w:hanging="240"/>
              <w:jc w:val="left"/>
              <w:rPr/>
            </w:pPr>
            <w:hyperlink w:anchor="p1">
              <w:r>
                <w:rPr>
                  <w:rStyle w:val="InternetLink"/>
                  <w:rFonts w:ascii="Times New Roman" w:hAnsi="Times New Roman"/>
                  <w:caps w:val="false"/>
                  <w:smallCaps w:val="false"/>
                  <w:sz w:val="20"/>
                </w:rPr>
                <w:t>Part I</w:t>
              </w:r>
            </w:hyperlink>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Business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
              <w:r>
                <w:rPr>
                  <w:rStyle w:val="InternetLink"/>
                  <w:rFonts w:ascii="Times New Roman" w:hAnsi="Times New Roman"/>
                  <w:caps w:val="false"/>
                  <w:smallCaps w:val="false"/>
                  <w:sz w:val="20"/>
                </w:rPr>
                <w:t>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1A">
              <w:r>
                <w:rPr>
                  <w:rStyle w:val="InternetLink"/>
                  <w:rFonts w:ascii="Times New Roman" w:hAnsi="Times New Roman"/>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A">
              <w:r>
                <w:rPr>
                  <w:rStyle w:val="InternetLink"/>
                  <w:rFonts w:ascii="Times New Roman" w:hAnsi="Times New Roman"/>
                  <w:caps w:val="false"/>
                  <w:smallCaps w:val="false"/>
                  <w:sz w:val="20"/>
                </w:rPr>
                <w:t>31</w:t>
              </w:r>
            </w:hyperlink>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1B">
              <w:r>
                <w:rPr>
                  <w:rStyle w:val="InternetLink"/>
                  <w:rFonts w:ascii="Times New Roman" w:hAnsi="Times New Roman"/>
                  <w:caps w:val="false"/>
                  <w:smallCaps w:val="false"/>
                  <w:sz w:val="20"/>
                </w:rPr>
                <w:t>Unresolved Staff Comments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B">
              <w:r>
                <w:rPr>
                  <w:rStyle w:val="InternetLink"/>
                  <w:rFonts w:ascii="Times New Roman" w:hAnsi="Times New Roman"/>
                  <w:caps w:val="false"/>
                  <w:smallCaps w:val="false"/>
                  <w:sz w:val="20"/>
                </w:rPr>
                <w:t>58</w:t>
              </w:r>
            </w:hyperlink>
          </w:p>
        </w:tc>
      </w:tr>
      <w:tr>
        <w:trPr/>
        <w:tc>
          <w:tcPr>
            <w:tcW w:w="840" w:type="dxa"/>
            <w:tcBorders/>
            <w:vAlign w:val="center"/>
          </w:tcPr>
          <w:p>
            <w:pPr>
              <w:pStyle w:val="TableContents"/>
              <w:bidi w:val="0"/>
              <w:spacing w:before="0" w:after="283"/>
              <w:jc w:val="left"/>
              <w:rPr/>
            </w:pPr>
            <w:r>
              <w:rPr/>
              <w:t>Item 1C.</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hyperlink w:anchor="Cybersecurity">
              <w:r>
                <w:rPr>
                  <w:rStyle w:val="InternetLink"/>
                </w:rPr>
                <w:t>Cybersecurity</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hyperlink w:anchor="Cybersecurity">
              <w:r>
                <w:rPr>
                  <w:rStyle w:val="InternetLink"/>
                </w:rPr>
                <w:t>58</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2">
              <w:r>
                <w:rPr>
                  <w:rStyle w:val="InternetLink"/>
                  <w:rFonts w:ascii="Times New Roman" w:hAnsi="Times New Roman"/>
                  <w:caps w:val="false"/>
                  <w:smallCaps w:val="false"/>
                  <w:sz w:val="20"/>
                </w:rPr>
                <w:t>Properties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2">
              <w:r>
                <w:rPr>
                  <w:rStyle w:val="InternetLink"/>
                  <w:rFonts w:ascii="Times New Roman" w:hAnsi="Times New Roman"/>
                  <w:caps w:val="false"/>
                  <w:smallCaps w:val="false"/>
                  <w:sz w:val="20"/>
                </w:rPr>
                <w:t>59</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3">
              <w:r>
                <w:rPr>
                  <w:rStyle w:val="InternetLink"/>
                  <w:rFonts w:ascii="Times New Roman" w:hAnsi="Times New Roman"/>
                  <w:caps w:val="false"/>
                  <w:smallCaps w:val="false"/>
                  <w:sz w:val="20"/>
                </w:rPr>
                <w:t>Legal Proceedings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3">
              <w:r>
                <w:rPr>
                  <w:rStyle w:val="InternetLink"/>
                  <w:rFonts w:ascii="Times New Roman" w:hAnsi="Times New Roman"/>
                  <w:caps w:val="false"/>
                  <w:smallCaps w:val="false"/>
                  <w:sz w:val="20"/>
                </w:rPr>
                <w:t>59</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4">
              <w:r>
                <w:rPr>
                  <w:rStyle w:val="InternetLink"/>
                  <w:rFonts w:ascii="Times New Roman" w:hAnsi="Times New Roman"/>
                  <w:caps w:val="false"/>
                  <w:smallCaps w:val="false"/>
                  <w:sz w:val="20"/>
                </w:rPr>
                <w:t>Mine Safety Disclosure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4">
              <w:r>
                <w:rPr>
                  <w:rStyle w:val="InternetLink"/>
                  <w:rFonts w:ascii="Times New Roman" w:hAnsi="Times New Roman"/>
                  <w:caps w:val="false"/>
                  <w:smallCaps w:val="false"/>
                  <w:sz w:val="20"/>
                </w:rPr>
                <w:t>62</w:t>
              </w:r>
            </w:hyperlink>
          </w:p>
        </w:tc>
      </w:tr>
      <w:tr>
        <w:trPr/>
        <w:tc>
          <w:tcPr>
            <w:tcW w:w="840"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240" w:right="0" w:hanging="240"/>
              <w:jc w:val="left"/>
              <w:rPr/>
            </w:pPr>
            <w:hyperlink w:anchor="p2">
              <w:r>
                <w:rPr>
                  <w:rStyle w:val="InternetLink"/>
                  <w:rFonts w:ascii="Times New Roman" w:hAnsi="Times New Roman"/>
                  <w:caps w:val="false"/>
                  <w:smallCaps w:val="false"/>
                  <w:sz w:val="20"/>
                </w:rPr>
                <w:t>Part II</w:t>
              </w:r>
            </w:hyperlink>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5">
              <w:r>
                <w:rPr>
                  <w:rStyle w:val="InternetLink"/>
                  <w:rFonts w:ascii="Times New Roman" w:hAnsi="Times New Roman"/>
                  <w:caps w:val="false"/>
                  <w:smallCaps w:val="false"/>
                  <w:sz w:val="20"/>
                </w:rPr>
                <w:t>62</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tem6reserved">
              <w:r>
                <w:rPr>
                  <w:rStyle w:val="InternetLink"/>
                  <w:rFonts w:ascii="Times New Roman" w:hAnsi="Times New Roman"/>
                  <w:caps w:val="false"/>
                  <w:smallCaps w:val="false"/>
                  <w:sz w:val="20"/>
                </w:rPr>
                <w:t>[Reserved]</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hyperlink w:anchor="item6reserved">
              <w:r>
                <w:rPr>
                  <w:rStyle w:val="InternetLink"/>
                </w:rPr>
                <w:t>63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7">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7">
              <w:r>
                <w:rPr>
                  <w:rStyle w:val="InternetLink"/>
                  <w:rFonts w:ascii="Times New Roman" w:hAnsi="Times New Roman"/>
                  <w:caps w:val="false"/>
                  <w:smallCaps w:val="false"/>
                  <w:sz w:val="20"/>
                </w:rPr>
                <w:t>64</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7A">
              <w:r>
                <w:rPr>
                  <w:rStyle w:val="InternetLink"/>
                  <w:rFonts w:ascii="Times New Roman" w:hAnsi="Times New Roman"/>
                  <w:caps w:val="false"/>
                  <w:smallCaps w:val="false"/>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7A">
              <w:r>
                <w:rPr>
                  <w:rStyle w:val="InternetLink"/>
                  <w:rFonts w:ascii="Times New Roman" w:hAnsi="Times New Roman"/>
                  <w:caps w:val="false"/>
                  <w:smallCaps w:val="false"/>
                  <w:sz w:val="20"/>
                </w:rPr>
                <w:t>73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8">
              <w:r>
                <w:rPr>
                  <w:rStyle w:val="InternetLink"/>
                  <w:rFonts w:ascii="Times New Roman" w:hAnsi="Times New Roman"/>
                  <w:caps w:val="false"/>
                  <w:smallCaps w:val="false"/>
                  <w:sz w:val="20"/>
                </w:rPr>
                <w:t>Financial Statements and Supplementary Data</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8">
              <w:r>
                <w:rPr>
                  <w:rStyle w:val="InternetLink"/>
                  <w:rFonts w:ascii="Times New Roman" w:hAnsi="Times New Roman"/>
                  <w:caps w:val="false"/>
                  <w:smallCaps w:val="false"/>
                  <w:sz w:val="20"/>
                </w:rPr>
                <w:t>73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9">
              <w:r>
                <w:rPr>
                  <w:rStyle w:val="InternetLink"/>
                  <w:rFonts w:ascii="Times New Roman" w:hAnsi="Times New Roman"/>
                  <w:caps w:val="false"/>
                  <w:smallCaps w:val="false"/>
                  <w:sz w:val="20"/>
                </w:rPr>
                <w:t>Changes in and Disagreements with Accountants on Accounting and Financial Disclosure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
              <w:r>
                <w:rPr>
                  <w:rStyle w:val="InternetLink"/>
                  <w:rFonts w:ascii="Times New Roman" w:hAnsi="Times New Roman"/>
                  <w:caps w:val="false"/>
                  <w:smallCaps w:val="false"/>
                  <w:sz w:val="20"/>
                </w:rPr>
                <w:t>73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9A">
              <w:r>
                <w:rPr>
                  <w:rStyle w:val="InternetLink"/>
                  <w:rFonts w:ascii="Times New Roman" w:hAnsi="Times New Roman"/>
                  <w:caps w:val="false"/>
                  <w:smallCaps w:val="false"/>
                  <w:sz w:val="20"/>
                </w:rPr>
                <w:t>Controls and Procedures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A">
              <w:r>
                <w:rPr>
                  <w:rStyle w:val="InternetLink"/>
                  <w:rFonts w:ascii="Times New Roman" w:hAnsi="Times New Roman"/>
                  <w:caps w:val="false"/>
                  <w:smallCaps w:val="false"/>
                  <w:sz w:val="20"/>
                </w:rPr>
                <w:t>73</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9B">
              <w:r>
                <w:rPr>
                  <w:rStyle w:val="InternetLink"/>
                  <w:rFonts w:ascii="Times New Roman" w:hAnsi="Times New Roman"/>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B">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283"/>
              <w:jc w:val="left"/>
              <w:rPr/>
            </w:pPr>
            <w:r>
              <w:rPr/>
              <w:t>Item 9C.</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hyperlink w:anchor="item9c">
              <w:r>
                <w:rPr>
                  <w:rStyle w:val="InternetLink"/>
                </w:rPr>
                <w:t>Disclosure Regarding Foreign Jurisdictions that Prevent Inspections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hyperlink w:anchor="item9c">
              <w:r>
                <w:rPr>
                  <w:rStyle w:val="InternetLink"/>
                </w:rPr>
                <w:t>74</w:t>
              </w:r>
            </w:hyperlink>
          </w:p>
        </w:tc>
      </w:tr>
      <w:tr>
        <w:trPr/>
        <w:tc>
          <w:tcPr>
            <w:tcW w:w="840"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240" w:right="0" w:hanging="240"/>
              <w:jc w:val="left"/>
              <w:rPr/>
            </w:pPr>
            <w:hyperlink w:anchor="p3">
              <w:r>
                <w:rPr>
                  <w:rStyle w:val="InternetLink"/>
                  <w:rFonts w:ascii="Times New Roman" w:hAnsi="Times New Roman"/>
                  <w:caps w:val="false"/>
                  <w:smallCaps w:val="false"/>
                  <w:sz w:val="20"/>
                </w:rPr>
                <w:t>Part III</w:t>
              </w:r>
            </w:hyperlink>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10">
              <w:r>
                <w:rPr>
                  <w:rStyle w:val="InternetLink"/>
                  <w:rFonts w:ascii="Times New Roman" w:hAnsi="Times New Roman"/>
                  <w:caps w:val="false"/>
                  <w:smallCaps w:val="false"/>
                  <w:sz w:val="20"/>
                </w:rPr>
                <w:t>Directors, Executive Officers and Corporate Governance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0">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11">
              <w:r>
                <w:rPr>
                  <w:rStyle w:val="InternetLink"/>
                  <w:rFonts w:ascii="Times New Roman" w:hAnsi="Times New Roman"/>
                  <w:caps w:val="false"/>
                  <w:smallCaps w:val="false"/>
                  <w:sz w:val="20"/>
                </w:rPr>
                <w:t>Executive Compensation</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1">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12">
              <w:r>
                <w:rPr>
                  <w:rStyle w:val="InternetLink"/>
                  <w:rFonts w:ascii="Times New Roman" w:hAnsi="Times New Roman"/>
                  <w:caps w:val="false"/>
                  <w:smallCaps w:val="false"/>
                  <w:sz w:val="20"/>
                </w:rPr>
                <w:t>Security Ownership of Certain Beneficial Owners and Management and Related Stockholder Matters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2">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13">
              <w:r>
                <w:rPr>
                  <w:rStyle w:val="InternetLink"/>
                  <w:rFonts w:ascii="Times New Roman" w:hAnsi="Times New Roman"/>
                  <w:caps w:val="false"/>
                  <w:smallCaps w:val="false"/>
                  <w:sz w:val="20"/>
                </w:rPr>
                <w:t>Certain Relationships and Related Transactions, and Director Independence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3">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240" w:right="0" w:hanging="240"/>
              <w:jc w:val="left"/>
              <w:rPr/>
            </w:pPr>
            <w:hyperlink w:anchor="i14">
              <w:r>
                <w:rPr>
                  <w:rStyle w:val="InternetLink"/>
                  <w:rFonts w:ascii="Times New Roman" w:hAnsi="Times New Roman"/>
                  <w:caps w:val="false"/>
                  <w:smallCaps w:val="false"/>
                  <w:sz w:val="20"/>
                </w:rPr>
                <w:t>Principal Accounting Fees and Services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4">
              <w:r>
                <w:rPr>
                  <w:rStyle w:val="InternetLink"/>
                  <w:rFonts w:ascii="Times New Roman" w:hAnsi="Times New Roman"/>
                  <w:caps w:val="false"/>
                  <w:smallCaps w:val="false"/>
                  <w:sz w:val="20"/>
                </w:rPr>
                <w:t>74</w:t>
              </w:r>
            </w:hyperlink>
          </w:p>
        </w:tc>
      </w:tr>
      <w:tr>
        <w:trPr/>
        <w:tc>
          <w:tcPr>
            <w:tcW w:w="840"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240" w:right="0" w:hanging="240"/>
              <w:jc w:val="left"/>
              <w:rPr/>
            </w:pPr>
            <w:hyperlink w:anchor="p4">
              <w:r>
                <w:rPr>
                  <w:rStyle w:val="InternetLink"/>
                  <w:rFonts w:ascii="Times New Roman" w:hAnsi="Times New Roman"/>
                  <w:caps w:val="false"/>
                  <w:smallCaps w:val="false"/>
                  <w:sz w:val="20"/>
                </w:rPr>
                <w:t>Part IV</w:t>
              </w:r>
            </w:hyperlink>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15">
              <w:r>
                <w:rPr>
                  <w:rStyle w:val="InternetLink"/>
                  <w:rFonts w:ascii="Times New Roman" w:hAnsi="Times New Roman"/>
                  <w:caps w:val="false"/>
                  <w:smallCaps w:val="false"/>
                  <w:sz w:val="20"/>
                </w:rPr>
                <w:t>Exhibits, Financial Statement Schedules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5">
              <w:r>
                <w:rPr>
                  <w:rStyle w:val="InternetLink"/>
                  <w:rFonts w:ascii="Times New Roman" w:hAnsi="Times New Roman"/>
                  <w:caps w:val="false"/>
                  <w:smallCaps w:val="false"/>
                  <w:sz w:val="20"/>
                </w:rPr>
                <w:t>75</w:t>
              </w:r>
            </w:hyperlink>
          </w:p>
        </w:tc>
      </w:tr>
      <w:tr>
        <w:trPr/>
        <w:tc>
          <w:tcPr>
            <w:tcW w:w="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0"/>
              <w:ind w:left="0" w:right="0" w:hanging="0"/>
              <w:jc w:val="left"/>
              <w:rPr/>
            </w:pPr>
            <w:hyperlink w:anchor="i16">
              <w:r>
                <w:rPr>
                  <w:rStyle w:val="InternetLink"/>
                  <w:rFonts w:ascii="Times New Roman" w:hAnsi="Times New Roman"/>
                  <w:caps w:val="false"/>
                  <w:smallCaps w:val="false"/>
                  <w:sz w:val="20"/>
                </w:rPr>
                <w:t>Form 10-K Summary</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6">
              <w:r>
                <w:rPr>
                  <w:rStyle w:val="InternetLink"/>
                  <w:rFonts w:ascii="Times New Roman" w:hAnsi="Times New Roman"/>
                  <w:caps w:val="false"/>
                  <w:smallCaps w:val="false"/>
                  <w:sz w:val="20"/>
                </w:rPr>
                <w:t>75</w:t>
              </w:r>
            </w:hyperlink>
          </w:p>
        </w:tc>
      </w:tr>
      <w:tr>
        <w:trPr/>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04" w:type="dxa"/>
            <w:gridSpan w:val="3"/>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 Index</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76</w:t>
              </w:r>
            </w:hyperlink>
          </w:p>
        </w:tc>
      </w:tr>
      <w:tr>
        <w:trPr/>
        <w:tc>
          <w:tcPr>
            <w:tcW w:w="970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04" w:type="dxa"/>
            <w:gridSpan w:val="3"/>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80</w:t>
              </w:r>
            </w:hyperlink>
          </w:p>
        </w:tc>
      </w:tr>
      <w:tr>
        <w:trPr/>
        <w:tc>
          <w:tcPr>
            <w:tcW w:w="970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04" w:type="dxa"/>
            <w:gridSpan w:val="3"/>
            <w:tcBorders/>
            <w:vAlign w:val="center"/>
          </w:tcPr>
          <w:p>
            <w:pPr>
              <w:pStyle w:val="TableContents"/>
              <w:bidi w:val="0"/>
              <w:spacing w:before="0" w:after="0"/>
              <w:ind w:left="0" w:right="0" w:hanging="0"/>
              <w:jc w:val="left"/>
              <w:rPr/>
            </w:pPr>
            <w:hyperlink w:anchor="index">
              <w:r>
                <w:rPr>
                  <w:rStyle w:val="InternetLink"/>
                  <w:rFonts w:ascii="Times New Roman" w:hAnsi="Times New Roman"/>
                  <w:caps w:val="false"/>
                  <w:smallCaps w:val="false"/>
                  <w:sz w:val="20"/>
                </w:rPr>
                <w:t>Index to Consolidated Financial Statements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ndex">
              <w:r>
                <w:rPr>
                  <w:rStyle w:val="InternetLink"/>
                  <w:rFonts w:ascii="Times New Roman" w:hAnsi="Times New Roman"/>
                  <w:caps w:val="false"/>
                  <w:smallCaps w:val="false"/>
                  <w:sz w:val="20"/>
                </w:rPr>
                <w:t>F-1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CAUTIONARY STATEMENT REGARDING FORWARD-LOOKING STATEMENTS </w:t>
      </w:r>
    </w:p>
    <w:p>
      <w:pPr>
        <w:pStyle w:val="TextBody"/>
        <w:bidi w:val="0"/>
        <w:spacing w:before="0" w:after="283"/>
        <w:jc w:val="left"/>
        <w:rPr/>
      </w:pPr>
      <w:r>
        <w:rPr/>
        <w:t xml:space="preserve">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This Annual Report contains forward-looking statements within the meaning of Section 21E of the Securities Exchange Act of 1934, as amended (the “Exchange Act”). Any statements about our expectations, beliefs, plans, objectives, assumptions, future events or performance are not historical facts and may be forward looking. These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10"/>
        <w:gridCol w:w="59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commercialization of NERLYNX® (neratinib) tablets (“NERLYNX”);</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development of our drug candidates, including when we expect to undertake, initiate and complete clinical trials of our drug candidates;</w:t>
            </w:r>
          </w:p>
        </w:tc>
      </w:tr>
    </w:tbl>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timing of regulatory filings;</w:t>
            </w:r>
          </w:p>
        </w:tc>
      </w:tr>
    </w:tbl>
    <w:p>
      <w:pPr>
        <w:pStyle w:val="TextBody"/>
        <w:bidi w:val="0"/>
        <w:spacing w:before="0" w:after="0"/>
        <w:ind w:left="0" w:right="0" w:hanging="0"/>
        <w:jc w:val="left"/>
        <w:rPr/>
      </w:pPr>
      <w:r>
        <w:rPr/>
        <w:t> </w:t>
      </w:r>
    </w:p>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approval of our drug candidates;</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use of clinical research organizations (“CRO”) and other contractors;</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60"/>
        <w:gridCol w:w="110"/>
        <w:gridCol w:w="91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find collaborative partners for research, development and commercialization of potential products;</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60"/>
        <w:gridCol w:w="110"/>
        <w:gridCol w:w="9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of our sub-licensees to obtain regulatory approval and commercialize NERLYNX in areas outside the United States;</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market any of our products;</w:t>
            </w:r>
          </w:p>
        </w:tc>
      </w:tr>
    </w:tbl>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60"/>
        <w:gridCol w:w="110"/>
        <w:gridCol w:w="41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regarding our costs and expenses;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anticipated capital requirements and estimates regarding our needs for additional financing;</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10"/>
        <w:gridCol w:w="5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compete against other companies and research institutions;</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secure adequate protection for our intellectual property;</w:t>
            </w:r>
          </w:p>
        </w:tc>
      </w:tr>
    </w:tbl>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intention and ability to vigorously defend against any litigation to which we are or may become party;</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in-license additional drugs;</w:t>
            </w:r>
          </w:p>
        </w:tc>
      </w:tr>
    </w:tbl>
    <w:p>
      <w:pPr>
        <w:pStyle w:val="TextBody"/>
        <w:bidi w:val="0"/>
        <w:spacing w:before="0" w:after="0"/>
        <w:ind w:left="0" w:right="0" w:hanging="0"/>
        <w:jc w:val="left"/>
        <w:rPr/>
      </w:pPr>
      <w:r>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key personnel; and</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financing on favorable terms or at all.</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Times;serif" w:hAnsi="Times New Roman;Times;serif"/>
          <w:sz w:val="20"/>
        </w:rPr>
      </w:pPr>
      <w:r>
        <w:rPr>
          <w:rFonts w:ascii="Times New Roman;Times;serif" w:hAnsi="Times New Roman;Times;serif"/>
          <w:sz w:val="20"/>
        </w:rPr>
        <w:t>These statements are often, but not always, made through the use of words or phrases such as “anticipate,” “estimate,” “plan,” “project,” “continuing,” “ongoing,” “expect,” “believe,” “intend” and similar words or phrases. Accordingly, these statements involve estimates, assumptions and uncertainties that could cause actual results to differ materially from those expressed in them. Discussions containing these forward-looking statements may be found throughout this Annual Report, including the sections entitled “Item 1. Business” in Part I and “Item 7. Management’s Discussion and Analysis of Financial Condition and Results of Operations” in Part II of this Annual Report. These forward-looking statements involve risks and uncertainties, including the risks discussed in the section entitled “Item 1A. Risk Factors” in Part I of this Annual Report that could cause our actual results to differ materially from those in the forward-looking statements. We undertake no obligation to update the forward-looking statements or to reflect events or circumstances after the date of this document, except as required by law. The risks discussed in this Annual Report should be considered in evaluating our prospects and future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Our business is subject to a number of risks of which you should be aware before making a decision to invest in our common stock, including those described in the section entitled “Item 1A. Risk Factors” in Part I of this Annual Report. These risks include, among others, the following:</w:t>
      </w:r>
    </w:p>
    <w:p>
      <w:pPr>
        <w:pStyle w:val="TextBody"/>
        <w:bidi w:val="0"/>
        <w:spacing w:before="0" w:after="0"/>
        <w:ind w:left="0" w:right="0" w:firstLine="5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While we have reported net income in recent years, we cannot assure that we will continue to do so and may not be able to maintain profitability.</w:t>
            </w:r>
          </w:p>
        </w:tc>
      </w:tr>
    </w:tbl>
    <w:p>
      <w:pPr>
        <w:pStyle w:val="TextBody"/>
        <w:bidi w:val="0"/>
        <w:spacing w:before="0" w:after="0"/>
        <w:ind w:left="0" w:right="0" w:hanging="0"/>
        <w:jc w:val="left"/>
        <w:rPr/>
      </w:pPr>
      <w:r>
        <w:rPr/>
        <w:t> </w:t>
      </w:r>
    </w:p>
    <w:tbl>
      <w:tblPr>
        <w:tblW w:w="7105" w:type="dxa"/>
        <w:jc w:val="left"/>
        <w:tblInd w:w="0" w:type="dxa"/>
        <w:tblLayout w:type="fixed"/>
        <w:tblCellMar>
          <w:top w:w="0" w:type="dxa"/>
          <w:left w:w="0" w:type="dxa"/>
          <w:bottom w:w="0" w:type="dxa"/>
          <w:right w:w="0" w:type="dxa"/>
        </w:tblCellMar>
      </w:tblPr>
      <w:tblGrid>
        <w:gridCol w:w="60"/>
        <w:gridCol w:w="110"/>
        <w:gridCol w:w="6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a single product company with limited commercial sales experience.</w:t>
            </w:r>
          </w:p>
        </w:tc>
      </w:tr>
    </w:tbl>
    <w:p>
      <w:pPr>
        <w:pStyle w:val="TextBody"/>
        <w:bidi w:val="0"/>
        <w:spacing w:before="0" w:after="0"/>
        <w:ind w:left="0" w:right="0" w:hanging="0"/>
        <w:jc w:val="left"/>
        <w:rPr/>
      </w:pPr>
      <w:r>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sz w:val="20"/>
              </w:rPr>
            </w:pPr>
            <w:r>
              <w:rPr>
                <w:sz w:val="20"/>
              </w:rPr>
              <w:t>We may not be able to successfully commercialize NERLYNX in the future.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be able to secure additional financing on favorable terms, or at all, to meet our future capital needs and our failure to obtain additional financing when needed on acceptable terms, or at all, could force us to delay, limit, reduce or terminate our product development or commercialization efforts or other operations.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terms of our Note Purchase Agreement place restrictions on our ability to operate our business and on our financial flexibility, and we may be unable to achieve the revenue necessary for us to incur additional borrowings under the Note Purchase Agreement or to satisfy the minimum revenue and cash balance covenants.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in-licensed alisertib, a drug candidate for which we have assumed all responsibility for global development and commercialization. Our development of alisertib will be expensive, lengthy and unpredictable, and any failure to successfully develop alisertib will have a material adverse effect on our business and financial position.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NERLYNX, alisertib or other drug candidates may cause undesirable side effects or have other properties when used alone or in combination with other approved products or investigational new drugs that could delay or prevent their regulatory approval, limit the commercial profile of an approved label, or result in significant negative consequences following marketing approval, if any, as applicable.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are in the early stages of development of alisertib, and we cannot be certain that we will be successful if we seek regulatory approvals for our drug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limited experience as a company in marketing or distributing pharmaceutical products. If we are unable to expand our marketing and sales capabilities in the commercialization of NERLYNX, our business, results of operations and financial condition may be materially adversely affected.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the risks associated with reliance on a direct sales force to commercialize NERLYNX in the United States.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NERLYNX commercialization efforts may fail to achieve the degree of market acceptance by patients and physicians necessary for commercial success.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depe</w:t>
            </w:r>
            <w:r>
              <w:rPr>
                <w:rFonts w:ascii="Times New Roman;Times;serif" w:hAnsi="Times New Roman;Times;serif"/>
                <w:caps w:val="false"/>
                <w:smallCaps w:val="false"/>
                <w:sz w:val="20"/>
                <w:shd w:fill="FFFFFF" w:val="clear"/>
              </w:rPr>
              <w:t>nd on a limited number of customers for a sig</w:t>
            </w:r>
            <w:r>
              <w:rPr>
                <w:rFonts w:ascii="Times New Roman;Times;serif" w:hAnsi="Times New Roman;Times;serif"/>
                <w:caps w:val="false"/>
                <w:smallCaps w:val="false"/>
                <w:sz w:val="20"/>
              </w:rPr>
              <w:t>nificant amount of our total revenue, and if we lose any of our significant customers, our business could be harmed.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 though the U.S. Food and Drug Administration (“FDA”) and the European Commission (“EC”) have granted approval of NERLYNX for the extended adjuvant treatment of certain patients with early stage, HER2-positive breast cancer and the FDA has granted approval for NERLYNX for the treatment of certain patients with metastatic HER2-positive breast cancer, the terms of the approvals may limit its commercial potential.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dependent on international third-party sub-licensees for the development and commercialization of NERLYNX in several countries outside the United States. The failure of these sub-licensees to meet their contractual, regulatory or other obligations could adversely affect our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no experience in drug formulation or manufacturing and rely exclusively on third parties to formulate and manufacture NERLYNX, alisertib and our other drug candidates, and any disruption or loss of these relationships could delay our development and commercialization efforts.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business, financial condition, results of operations and ongoing clinical trials have been, and could continue to be, harmed by the effects of public health emergencies or outbreaks of epidemics, pandemics or contagious diseases.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significantly on information technology and any failure, inadequacy, interruption or security lapse of that technology, including any cybersecurity incidents, could harm us.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significantly on in-licensed intellectual property, and the termination of these licenses would significantly harm our business and future prospects.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proprietary rights may not adequately protect our intellectual property and potential products, and if we cannot obtain adequate protection of our intellectual property and potential products, we may not be able to successfully market our potential products.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 xml:space="preserve">PART I </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40"/>
        <w:gridCol w:w="1205"/>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4" w:name="i1"/>
            <w:bookmarkEnd w:id="4"/>
            <w:r>
              <w:rPr>
                <w:rFonts w:ascii="Times New Roman" w:hAnsi="Times New Roman"/>
                <w:b/>
                <w:caps w:val="false"/>
                <w:smallCaps w:val="false"/>
                <w:sz w:val="20"/>
              </w:rPr>
              <w:t>ITEM 1.</w:t>
            </w:r>
          </w:p>
        </w:tc>
        <w:tc>
          <w:tcPr>
            <w:tcW w:w="1205" w:type="dxa"/>
            <w:tcBorders/>
            <w:vAlign w:val="center"/>
          </w:tcPr>
          <w:p>
            <w:pPr>
              <w:pStyle w:val="TableContents"/>
              <w:bidi w:val="0"/>
              <w:spacing w:before="0" w:after="283"/>
              <w:jc w:val="left"/>
              <w:rPr>
                <w:b/>
                <w:shd w:fill="FFFFFF" w:val="clear"/>
              </w:rPr>
            </w:pPr>
            <w:r>
              <w:rPr>
                <w:b/>
                <w:shd w:fill="FFFFFF" w:val="clear"/>
              </w:rPr>
              <w:t>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Company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 xml:space="preserve">Unless otherwise provided in this Annual Report, references to 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Puma Biotechnology, Inc. and</w:t>
      </w:r>
      <w:r>
        <w:rPr>
          <w:rFonts w:ascii="Times New Roman" w:hAnsi="Times New Roman"/>
          <w:caps w:val="false"/>
          <w:smallCaps w:val="false"/>
          <w:sz w:val="20"/>
        </w:rPr>
        <w:t> </w:t>
      </w:r>
      <w:r>
        <w:rPr>
          <w:rFonts w:ascii="Times New Roman" w:hAnsi="Times New Roman"/>
          <w:i/>
          <w:caps w:val="false"/>
          <w:smallCaps w:val="false"/>
          <w:sz w:val="20"/>
        </w:rPr>
        <w:t>our 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 cancers. Additionally, we have in-licensed, and are responsible for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a subsidiary of Takeda Pharmaceutical Company Limited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 negative breast cancer and small cell lung cancer. We intend to pursue development of alisertib initially in small cell lung cancer and hormone receptor-positive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figure provides an overview of our commercial product and drug candidates.</w:t>
      </w:r>
    </w:p>
    <w:p>
      <w:pPr>
        <w:pStyle w:val="TextBody"/>
        <w:bidi w:val="0"/>
        <w:spacing w:before="0" w:after="0"/>
        <w:ind w:left="0" w:right="0" w:firstLine="560"/>
        <w:jc w:val="center"/>
        <w:rPr>
          <w:caps w:val="false"/>
          <w:smallCaps w:val="false"/>
        </w:rPr>
      </w:pPr>
      <w:r>
        <w:rPr>
          <w:caps w:val="false"/>
          <w:smallCaps w:val="false"/>
        </w:rPr>
        <w:t>                    </w:t>
      </w:r>
      <w:r>
        <w:rPr>
          <w:caps w:val="false"/>
          <w:smallCaps w:val="false"/>
        </w:rPr>
        <w:drawing>
          <wp:inline distT="0" distB="0" distL="0" distR="0">
            <wp:extent cx="6700520" cy="424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0520" cy="4248150"/>
                    </a:xfrm>
                    <a:prstGeom prst="rect">
                      <a:avLst/>
                    </a:prstGeom>
                  </pic:spPr>
                </pic:pic>
              </a:graphicData>
            </a:graphic>
          </wp:inline>
        </w:drawing>
      </w:r>
    </w:p>
    <w:p>
      <w:pPr>
        <w:pStyle w:val="TextBody"/>
        <w:bidi w:val="0"/>
        <w:spacing w:before="0" w:after="0"/>
        <w:ind w:left="0" w:right="0" w:hanging="180"/>
        <w:jc w:val="center"/>
        <w:rPr/>
      </w:pPr>
      <w:r>
        <w:rPr/>
        <w:t xml:space="preserve">  </w:t>
      </w:r>
    </w:p>
    <w:tbl>
      <w:tblPr>
        <w:tblW w:w="2200" w:type="dxa"/>
        <w:jc w:val="left"/>
        <w:tblInd w:w="0" w:type="dxa"/>
        <w:tblLayout w:type="fixed"/>
        <w:tblCellMar>
          <w:top w:w="0" w:type="dxa"/>
          <w:left w:w="0" w:type="dxa"/>
          <w:bottom w:w="0" w:type="dxa"/>
          <w:right w:w="0" w:type="dxa"/>
        </w:tblCellMar>
      </w:tblPr>
      <w:tblGrid>
        <w:gridCol w:w="140"/>
        <w:gridCol w:w="2060"/>
      </w:tblGrid>
      <w:tr>
        <w:trPr/>
        <w:tc>
          <w:tcPr>
            <w:tcW w:w="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EBC: Early breast cancer</w:t>
            </w:r>
          </w:p>
        </w:tc>
      </w:tr>
    </w:tbl>
    <w:tbl>
      <w:tblPr>
        <w:tblW w:w="2785" w:type="dxa"/>
        <w:jc w:val="left"/>
        <w:tblInd w:w="0" w:type="dxa"/>
        <w:tblLayout w:type="fixed"/>
        <w:tblCellMar>
          <w:top w:w="0" w:type="dxa"/>
          <w:left w:w="0" w:type="dxa"/>
          <w:bottom w:w="0" w:type="dxa"/>
          <w:right w:w="0" w:type="dxa"/>
        </w:tblCellMar>
      </w:tblPr>
      <w:tblGrid>
        <w:gridCol w:w="245"/>
        <w:gridCol w:w="25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MBC: Metastatic breast cancer</w:t>
            </w:r>
          </w:p>
        </w:tc>
      </w:tr>
    </w:tbl>
    <w:tbl>
      <w:tblPr>
        <w:tblW w:w="3400" w:type="dxa"/>
        <w:jc w:val="left"/>
        <w:tblInd w:w="0" w:type="dxa"/>
        <w:tblLayout w:type="fixed"/>
        <w:tblCellMar>
          <w:top w:w="0" w:type="dxa"/>
          <w:left w:w="0" w:type="dxa"/>
          <w:bottom w:w="0" w:type="dxa"/>
          <w:right w:w="0" w:type="dxa"/>
        </w:tblCellMar>
      </w:tblPr>
      <w:tblGrid>
        <w:gridCol w:w="455"/>
        <w:gridCol w:w="2945"/>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HRc+: Hormone receptor-positive</w:t>
            </w:r>
          </w:p>
        </w:tc>
      </w:tr>
      <w:tr>
        <w:trPr/>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NSCLC: Non-small cell lung cancer</w:t>
            </w:r>
          </w:p>
        </w:tc>
      </w:tr>
    </w:tbl>
    <w:p>
      <w:pPr>
        <w:pStyle w:val="TextBody"/>
        <w:bidi w:val="0"/>
        <w:spacing w:before="0" w:after="0"/>
        <w:ind w:left="0" w:right="0" w:firstLine="560"/>
        <w:jc w:val="left"/>
        <w:rPr/>
      </w:pPr>
      <w:r>
        <w:rPr/>
        <w:t> </w:t>
      </w:r>
    </w:p>
    <w:p>
      <w:pPr>
        <w:pStyle w:val="TextBody"/>
        <w:bidi w:val="0"/>
        <w:spacing w:before="0" w:after="0"/>
        <w:ind w:left="0" w:right="0" w:firstLine="560"/>
        <w:jc w:val="left"/>
        <w:rPr>
          <w:rFonts w:ascii="Times New Roman" w:hAnsi="Times New Roman"/>
          <w:b/>
          <w:i/>
          <w:sz w:val="20"/>
        </w:rPr>
      </w:pPr>
      <w:r>
        <w:rPr>
          <w:rFonts w:ascii="Times New Roman" w:hAnsi="Times New Roman"/>
          <w:b/>
          <w:i/>
          <w:sz w:val="20"/>
        </w:rPr>
        <w:t>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Breast cancer is the leading cause of cancer death among women worldwide, with approximately 2.3 million new cases reported each year and more than 670,000 deaths globally per year. Up to 20% of breast cancer tumors show over-expression of the HER2 protein. Women with breast cancer that over-expresses HER2, referred to as HER2-positive breast cancer, are at greater risk for disease progression and death than women whose tumors do not over-express HER2. Therapeutic strategies have been developed to block HER2 in order to improve the treatment of this type of breast cancer. Trastuzumab, pertuzumab, lapatinib, T-DM1, fam‐trastuzumab deruxtecan and tucatinib are all drugs that are used as single agents, in combination with other drugs and in combination with chemotherapy to treat patients with HER2-positive breast cancer at various stages.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Neratinib is a potent irreversible tyrosine kinase inhibitor (“TKI”) that blocks signal transduction through the epidermal growth factor receptors, HER1, HER2 and HER4. Based on pre-clinical studies and clinical trials to date, we believe that neratinib may offer an advantage over existing treatments that are used in the treatment of patients with HER2-positive breast cancer. We believe that by more potently inhibiting HER2 at a different site and acting via a mechanism different from other agents, neratinib may have therapeutic benefits in breast cancer patients who have been previously treated with these existing treatments, most notably due to its irreversible inhibition of the HER2 target enzyme.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the commercial name for neratinib,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 We also believe neratinib has potential clinical application in the treatment of several other cancers as well, including other tumor types that over-express or have a mutation in HER2 or epidermal growth factor receptor (“EGFR”), such as cervical cancer, lung cancer or other solid tumors.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currently market NERLYNX in the United States using our direct specialty sales force consisting of approxima</w:t>
      </w:r>
      <w:r>
        <w:rPr>
          <w:rFonts w:ascii="Times New Roman" w:hAnsi="Times New Roman"/>
          <w:caps w:val="false"/>
          <w:smallCaps w:val="false"/>
          <w:sz w:val="20"/>
          <w:shd w:fill="FFFFFF" w:val="clear"/>
        </w:rPr>
        <w:t>tely 35 sales specialists as of</w:t>
      </w:r>
      <w:r>
        <w:rPr>
          <w:rFonts w:ascii="Times New Roman" w:hAnsi="Times New Roman"/>
          <w:caps w:val="false"/>
          <w:smallCaps w:val="false"/>
          <w:sz w:val="20"/>
        </w:rPr>
        <w:t xml:space="preserve"> December 31, 2025. Our sales specialists are supported by an experienced sales leadership team consisting of regional managers and directors, as well as a commercial team of experienced professionals in marketing, access and reimbursement, managed markets, marketing research, commercial operations and sales force planning and management. Outside the United States, we have entered into exclusive sub-license agreements with third parties to pursue regulatory approval, if necessary, and commercialize NERLYNX, if approved. As of December 31, 2025, NERLYNX has received approval for the treatment of certain patients with extended adjuvant and/or metastatic HER2-positive breast cancer in more than 40 countries outside the United States, including the European Union (“EU”), China, Latin America, Australia, Canada, and Hong Kong. We are currently party to several sub-licenses in various regions outside the United States, including Europe (excluding Ukraine), Australia, Canada, China, Southeast Asia, Israel, South Korea, Russia and various countries and territories in Central America,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Alisertib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an exclusive license agreement with Takeda to license the worldwide research and development and commercial rights to alisertib. Alisertib is an investigational, reversible, ATP-competitive inhibitor that is designed to be highly selective for Aurora Kinase A. Inhibition of Aurora Kinase A leads to disruption of mitotic spindle apparatus assembly, disruption of chromosome segregation, and inhibition of cell proliferation. In clinical trials to date, alisertib had shown single agent activity and activity in combination with other cancer drugs in the treatment of many different types of cancers, including hormone receptor-positive breast cancer, triple negative breast cancer, small cell lung cancer and head and neck cancer. Alisertib has also shown activity in previous clinical trials in peripheral T cell lymphoma and non-Hodgkin's lymphoma. Prior to our licensing alisertib from Takeda, the drug was tested in over 1,300 patients who were treated across 22 company-sponsored trials resulting in a large well-characterized clinical safety database.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goal is to become a leading provider of advanced therapies for the treatment of various forms of cancer. The following elements comprise our strategy to achieve this objective: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Successfully execute our NERLYNX commercial plan. An important near-term objective is to continue to execute our NERLYNX commercial plan by driving market penetration and duration of therapy consistent with the current NERLYNX label. We continue to focus our efforts on commercializing NERLYNX in the United States. In addition, we have entered into exclusive sub-license agreements with various parties to pursue regulatory approval, if necessary, and commercialize NERLYNX, if approved, in additional countries worldwide.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the development of alisertib. We intend to pursue the development of alisertib in hormone receptor-positive breast cancer, as well as small cell lung cancer based on the prior clinical data that has been generated. We also plan to evaluate alisertib in biomarker focused populations where it has shown a higher degree of activity, such as patients with c-Myc amplification and RB1 loss/RB1 mutations, as we believe that this may provide a point of differentiation from the other drugs being developed in the treatment of these diseases.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Maximize the value of our programs by maintaining the flexibility to commercialize our drug candidates independently or through collaborative relationships with third parties. We are currently commercializing NERLYNX using a direct sales force in the United States and using sub-licensees in certain countries outside the United States. As we move additional drug candidates through development toward regulatory approval, we plan to evaluate several options for each drug candidate’s commercialization strategy. These options include building upon or leveraging our own internal sales force; entering into a joint marketing partnership with another pharmaceutical or biotechnology company, whereby we jointly sell and market the product; and out-licensing our product, whereby another pharmaceutical or biotechnology company sells and markets our product and pays us a royalty on sales. Our decision may be different for each product that reaches commercialization and will be based on a number of factors including capital necessary to execute on each option, size of the market to be addressed and terms of potential offers from other pharmaceutical and biotechnology companies.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In-license or acquire additional commercial drugs and/or drug candidates and technologies in order to build a sustainable product pipeline by employing multiple therapeutic approaches and disciplined decision criteria based on clearly defined proof of principal goals. We seek to build a sustainable portfolio including commercial drugs where we can successfully leverage our existing commercial infrastructure and a product pipeline by employing multiple therapeutic approaches and by acquiring drug candidates belonging to known drug classes. In addition, we employ disciplined decision criteria to assess drug candidates. A decision by us to license a drug candidate will depend on a variety of factors, including the scientific merits of the technology; the costs of the transaction and other economic terms of the proposed license; the amount of capital required to develop the technology; and the economic potential of the drug candidate, should it be commercialized. We believe this strategy minimizes our clinical development risk and allows us to accelerate the development and potential commercialization of current and future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HER2-Positive Breast Cancer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Breast cancer is the leading cause of cancer death among women worldwide. In 2022, an estimated 2.3 million new cases and 670,000 breast cancer-related deaths occurred. Up to 20% of breast cancer tumors show over-expression of the HER2 protein and HER2 status is an important prognostic and predictive factor of breast cancer. Therapeutic strategies have been developed to block HER2 in order to improve the treatment of this type of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Trastuzumab, pertuzumab, lapatinib, T-DM1, fam‐trastuzumab deruxtecan and tucatinib are all drugs that are used as single agents, in combination with other drugs and in combination with chemotherapy to treat patients with HER2-positive breast cancer at various stages.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Currently, the only treatment approved by the FDA for the treatment of neoadjuvant (newly diagnosed) HER2-positive breast cancer is the combination of pertuzumab plus trastuzumab and taxane chemotherapy. The FDA-approved treatments for the adjuvant treatment of HER2-positive early stage breast cancer are the combination of trastuzumab and chemotherapy, the combination of pertuzumab plus trastuzumab and chemotherapy, or KADCYLA®, which is approved specifically in patients with HER2-positive early stage breast cancer with residual disease after neoadjuvant treatment. In addition, we are aware of numerous additional ongoing clinical trials involving other drug candidates used alone or in combination with existing drugs to treat patients with breast cancer. In addition, we are also aware of a Phase III trial in patients with high risk HER2-positive early stage breast cancer with residual disease after neoadjuvant treatment that is testing the combination of KADCYLA plus tucatinib versus KADCYLA alone (the “CompassHER2 RD Trial”), and the data from the completed Phase III trial in patients with high risk HER2-positive early stage breast cancer with residual disease after neoadjuvant treatment that evaluated fam-trastuzumab deruxtecan versus KADCYLA alone (the “DESTINY-Breast05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believe that there are approximately 30,000 patients in the United States and 37,000 patients in the EU with early stage HER2-positive breast cancer who are treated with adjuvant therapy. We also believe that there are approximately 6,400 patients in the United States with third-line HER2-positive metastatic breast cancer. The number of patients with third-line or later HER2-positive metastatic breast cancer may decrease in future years as the introduction of new neoadjuvant, adjuvant and extended adjuvant treatments may reduce the number of patients with recurrence of HER2-positive breast cancer and therefore reduce the number of patients with HER2-positive metastatic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on 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Neratinib is a potent irreversible TKI that blocks signal transduction through the epidermal growth factor receptors, HER1, HER2 and HER4. Based on pre-clinical studies and clinical trials to date, we believe that neratinib may offer an advantage over existing treatments that are used in the treatment of patients with HER2-positive breast cancer. We believe that by more potently inhibiting HER2 at a different site and acting via a mechanism different from other agents, neratinib may have therapeutic benefits in patients who have been previously treated with these existing treatments, most notably due to its irreversible inhibition of the HER2 target enzyme.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we believe neratinib has clinical application in the treatment of several other cancers as well, including other tumor types that over-express or have a mutation in HER2 or EGFR, such as breast cancer, cervical cancer, lung cancer or other solid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b/>
          <w:i/>
          <w:caps w:val="false"/>
          <w:smallCaps w:val="false"/>
          <w:sz w:val="20"/>
        </w:rPr>
        <w:t>Neratinib</w:t>
      </w:r>
      <w:r>
        <w:rPr>
          <w:rFonts w:ascii="Times New Roman" w:hAnsi="Times New Roman"/>
          <w:caps w:val="false"/>
          <w:smallCaps w:val="false"/>
          <w:sz w:val="20"/>
        </w:rPr>
        <w:t>—</w:t>
      </w:r>
      <w:r>
        <w:rPr>
          <w:rFonts w:ascii="Times New Roman" w:hAnsi="Times New Roman"/>
          <w:b/>
          <w:i/>
          <w:caps w:val="false"/>
          <w:smallCaps w:val="false"/>
          <w:sz w:val="20"/>
        </w:rPr>
        <w:t xml:space="preserve">Early Stage Breast Cancer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Extended Adjuvant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2017, the FDA approved NERLYNX (neratinib) for the extended adjuvant treatment of adult patients with early stage HER2-overexpressed/amplified breast cancer following adjuvant trastuzumab-based therapy. In 2018, the EC granted marketing authorization for NERLYNX in the EU for the extended adjuvant treatment of adult patients with early stage hormone receptor-positive HER2-overexpressed/amplified breast cancer and who are less than one year from the completion of prior adjuvant trastuzumab-based therapy. These approvals were obtained based on the two-year data obtained in our ExteNET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 xml:space="preserve">Two-Year ExteNET Data. </w:t>
      </w:r>
      <w:r>
        <w:rPr>
          <w:rFonts w:ascii="Times New Roman" w:hAnsi="Times New Roman"/>
          <w:caps w:val="false"/>
          <w:smallCaps w:val="false"/>
          <w:sz w:val="20"/>
        </w:rPr>
        <w:t xml:space="preserve">In July 2014, we announced top line results from our ExteNET trial, a Phase III clinical trial of neratinib for the extended adjuvant treatment of early stage HER2-positive breast cancer. The data from this trial were presented in an oral presentation at the American Society of Clinical Oncology (“ASCO”) Annual Meeting in June 2015 and were published online in </w:t>
      </w:r>
      <w:r>
        <w:rPr>
          <w:rFonts w:ascii="Times New Roman" w:hAnsi="Times New Roman"/>
          <w:i/>
          <w:caps w:val="false"/>
          <w:smallCaps w:val="false"/>
          <w:sz w:val="20"/>
        </w:rPr>
        <w:t>The Lancet Oncology</w:t>
      </w:r>
      <w:r>
        <w:rPr>
          <w:rFonts w:ascii="Times New Roman" w:hAnsi="Times New Roman"/>
          <w:caps w:val="false"/>
          <w:smallCaps w:val="false"/>
          <w:sz w:val="20"/>
        </w:rPr>
        <w:t xml:space="preserve"> in February 2016. The ExteNET trial was a double-blind, placebo-controlled, Phase III trial of neratinib versus placebo after adjuvant treatment with Herceptin in women with early stage HER2-positive breast cancer. More specifically, the ExteNET trial enrolled 2,840 patients in 41 countries with early stage HER2-positive breast cancer who had undergone surgery and adjuvant treatment with trastuzumab. After completion of adjuvant treatment with trastuzumab, patients were randomized to receive extended adjuvant treatment with either neratinib or placebo for a period of one year. Patients were then followed for recurrent disease, ductal carcinoma in situ (“DCIS”), or death for a period of two years after randomization in the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safety results of the study showed that the most frequently observed adverse event for the neratinib-treated patients was diarrhea, with approximately 39.9% of the neratinib-treated patients experiencing grade 3 or higher diarrhea (one patient, 0.1%, had grade 4 diarrhea). Patients who received neratinib in this trial did not receive any prophylaxis with antidiarrheal agents to prevent the neratinib-related diarrhea.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primary endpoint of the ExteNET trial was invasive disease-free survival (“DFS”). The results of the trial demonstrated that treatment with neratinib resulted in a 33% reduction of risk of invasive disease recurrence or death versus placebo (hazard ratio = 0.67, p = 0.009). The two-year DFS rate for the neratinib arm was 93.9% and the two-year DFS rate for the placebo arm was 91.6%. The secondary endpoint of the trial was disease-free survival including ductal carcinoma in situ (“DFS-DCIS”). The results of the trial demonstrated that treatment with neratinib resulted in a 37% reduction of risk of disease recurrence including DCIS or death versus placebo (hazard ratio = 0.63, p = 0.002). The two-year DFS-DCIS rate for the neratinib arm was 93.9% and the two-year DFS-DCIS rate for the placebo arm was 91.0%.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an inclusion criteria for the ExteNET trial, patients needed to have tumors that were HER2-positive using local assessment. In addition, as a pre-defined subgroup in the trial, patients had centralized HER2 testing performed on their tumor as well. At the time the two-year data was compiled, centralized HER2 testing had been performed on 1,704 (60%) of the patients in the ExteNET trial and further central testing on available samples was ongoing. For the 1,463 patients whose tumors were HER2-positive by central confirmation, the results of the trial demonstrated that treatment with neratinib resulted in a 49% reduction of risk of invasive disease recurrence or death versus placebo (hazard ratio = 0.51, p = 0.002). The two-year DFS rate for the centrally confirmed patients in the neratinib arm was 94.7% and the 2-year DFS rate for the centrally confirmed patients in the placebo arm was 90.6%. For the patients in the trial whose tumors were HER2-positive by central confirmation, the results of the trial demonstrated that treatment with neratinib resulted in a 51% reduction of risk of disease recurrence including DCIS or death versus placebo (hazard ratio = 0.49, p &lt; 0.001). The two-year DFS-DCIS rate for the centrally confirmed patients in the neratinib arm was 94.7% and the two-year DFS rate for centrally confirmed patients in the placebo arm was 90.2%.</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pre-defined subgroup of patients with hormone receptor-positive disease, the results of the trial demonstrated that treatment with neratinib resulted in a 49% reduction of risk of invasive disease recurrence or death versus placebo (hazard ratio = 0.51, p = 0.001). The two-year DFS rate for the neratinib arm was 95.4% and the two-year DFS rate for the placebo arm was 91.2%. For the patients in the trial whose tumors were HER2-positive by central confirmation, the results of the trial demonstrated that treatment with neratinib resulted in a 75% reduction of risk of invasive disease recurrence or death (hazard ratio = 0.25, p &lt; 0.001). The two-year DFS rate for the centrally confirmed patients in the neratinib arm was 97.0% and the two-year DFS rate for centrally confirmed patients in the placebo arm was 88.4%.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Five-Year ExteNET Data.</w:t>
      </w:r>
      <w:r>
        <w:rPr>
          <w:rFonts w:ascii="Times New Roman" w:hAnsi="Times New Roman"/>
          <w:caps w:val="false"/>
          <w:smallCaps w:val="false"/>
          <w:sz w:val="20"/>
        </w:rPr>
        <w:t> In September 2017, we presented updated data from the ExteNET trial at the European Society of Medical Oncology (“ESMO”) 2017 Congress in Madrid, Spain. The data represented a predefined five-year invasive disease-free survival (“iDFS”) analysis as a follow-up to the primary two-year iDFS analysis of the Phase III ExteNET trial. The results of the trial demonstrated that after a median follow up of 5.2 years, treatment with neratinib resulted in a 27% reduction of risk of invasive disease recurrence or death versus placebo (hazard ratio = 0.73, p = 0.008). The five-year iDFS rate for the neratinib arm was 90.2% and the 5-year iDFS rate for the placebo arm was 87.7%. The secondary endpoint of the trial was invasive disease-free survival including ductal carcinoma in situ (“iDFS-DCIS”). The results of the trial demonstrated that treatment with neratinib resulted in a 29% reduction of risk of disease recurrence, including DCIS or death versus placebo (hazard ratio = 0.71, p = 0.004). The five-year iDFS-DCIS rate for the neratinib arm was 89.7% and the five-year iDFS-DCIS rate for the placebo arm was 86.8%.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pre-defined subgroup of patients with hormone receptor-positive disease, the results of the trial demonstrated that treatment with neratinib resulted in a 40% reduction of risk of invasive disease recurrence or death versus placebo (hazard ratio = 0.60, p = 0.002). The five-year iDFS rate for the neratinib arm was 91.2% and the five-year iDFS rate for the placebo arm was 86.8%. For the pre-defined subgroup of patients with hormone receptor-negative disease, the results of the trial demonstrated that treatment with neratinib resulted in a hazard ratio of 0.95 (p = 0.762).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results of the ExteNET trial showed that after two years of follow-up, for patients with hormone receptor-positive, HER2-positive early stage breast cancer who were treated within one year after the completion of trastuzumab based adjuvant therapy, iDFS was 95.3% in the patients treated with neratinib compared with 90.8% in those receiving placebo (hazard ratio = 0.49; 95% CI: (0.30, 0.78); p=0.002).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safety results were unchanged from the primary two-year iDFS analysis of the study that showed the most frequently observed adverse event for the neratinib-treated patients was diarrhea, with approximately 39.9% of the neratinib-treated patients experiencing grade 3 or higher diarrhea (one patient, or 0.1%, had grade 4 diarrhea). Patients who received neratinib in this trial did not receive any prophylaxis with antidiarrheal agents to prevent the neratinib-related diarrhea.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October 2020, we announced that efficacy results of neratinib in HER2-positive, hormone receptor-positive (“HR+”), early stage breast cancer from the Phase III ExteNET trial were published in </w:t>
      </w:r>
      <w:r>
        <w:rPr>
          <w:rFonts w:ascii="Times New Roman" w:hAnsi="Times New Roman"/>
          <w:i/>
          <w:caps w:val="false"/>
          <w:smallCaps w:val="false"/>
          <w:sz w:val="20"/>
        </w:rPr>
        <w:t>Clinical Breast Cancer</w:t>
      </w:r>
      <w:r>
        <w:rPr>
          <w:rFonts w:ascii="Times New Roman" w:hAnsi="Times New Roman"/>
          <w:caps w:val="false"/>
          <w:smallCaps w:val="false"/>
          <w:sz w:val="20"/>
        </w:rPr>
        <w:t>. The manuscript presented data focusing on hormone receptor-positive patients who initiated treatment within a year of completing an adjuvant trastuzumab containing treatment (HR+ /&lt; 1 yr) and subgroups of clinical interest including patients who did not achieve a pathological complete response (no pCR) after neoadjuvant treatment and therefore were at a high risk of disease recurrence (HR+/ &lt;1 yr, no pCR). In the HR+ /&lt; 1 yr patient population, the absolute 5-year invasive disease-free survival benefit versus placebo was 5.1% (HR=0.58, 95% CI 0.41–0.82) and absolute 8-year overall survival benefit was 2.1%. (HR=0.79, 95% CI 0.55–1.13). The 5-year cumulative incidence of central nervous system (“CNS”) metastases was 0.7% in the neratinib arm and 2.1% in the placebo 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HR+/ &lt;1 yr, no pCR subgroup of patients that were at a high risk of disease recurrence the absolute 5-year iDFS benefit in the neratinib arm versus placebo was 7.4% (HR=0.60; 95% CI 0.33–1.07) and the 8-year overall survival benefit was 9.1% (HR=0.47; 95% CI 0.23– 0.92).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is included in the body of the National Comprehensive Cancer Network (“NCCN”) Practice Guidelines for Breast Cancer for the treatment of adjuvant HER2-positive Breast Cancer (BINV-16 &amp; BINV-L) under the heading Useful in Certain Circumstances, with a recommendation for considering extended adjuvant neratinib for patients with HR-positive, HER2-positive disease with a perceived high risk of recurrence. Dose escalation of neratinib is included as an approach to improve the tolerability of neratinib in the treatment of adjuvant HER2-positive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CONTROL</w:t>
      </w:r>
      <w:r>
        <w:rPr>
          <w:rFonts w:ascii="Times New Roman" w:hAnsi="Times New Roman"/>
          <w:caps w:val="false"/>
          <w:smallCaps w:val="false"/>
          <w:sz w:val="20"/>
        </w:rPr>
        <w:t>. In February 2015, we initiated the CONTROL trial, which is an international, open-label, Phase II study investigating the use of antidiarrheal prophylaxis or dose escalation in the prevention and reduction of neratinib-associated diarrhea and, more specifically, grade 3 diarrhea. In the CONTROL trial, patients with HER2-positive early stage breast cancer who had completed trastuzumab-based adjuvant therapy received neratinib daily for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December 2021, final results from the CONTROL trial were presented at the CTRC-AACR San Antonio Breast Cancer Symposium.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Final results showed the incidence of grade 3 diarrhea for the 137 patients who received the loperamide prophylaxis was 31%, the incidence of grade 3 diarrhea for the 64 patients who received the combination of loperamide plus budesonide was 28%, the incidence of grade 3 diarrhea for the 136 patients who received the combination of loperamide plus colestipol was 21%, the incidence of grade 3 diarrhea for the 104 patients who received colestipol alone with loperamide as needed was 33%, the incidence of grade 3 diarrhea for the 60 patients who used the dose escalation 1 regimen (DE 1) was 13%, and the incidence of grade 3 diarrhea for the 62 patients who used dose escalation regimen 2 (DE 2) was 27%. Further information is provided in Table 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center"/>
        <w:rPr>
          <w:rFonts w:ascii="Times New Roman" w:hAnsi="Times New Roman"/>
          <w:b/>
          <w:caps w:val="false"/>
          <w:smallCaps w:val="false"/>
          <w:sz w:val="20"/>
        </w:rPr>
      </w:pPr>
      <w:r>
        <w:rPr>
          <w:rFonts w:ascii="Times New Roman" w:hAnsi="Times New Roman"/>
          <w:b/>
          <w:caps w:val="false"/>
          <w:smallCaps w:val="false"/>
          <w:sz w:val="20"/>
        </w:rPr>
        <w:t>Table 1: Incidence of Treatment-Emergent Diarrhea</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254"/>
        <w:gridCol w:w="1070"/>
        <w:gridCol w:w="60"/>
        <w:gridCol w:w="995"/>
        <w:gridCol w:w="60"/>
        <w:gridCol w:w="875"/>
        <w:gridCol w:w="60"/>
        <w:gridCol w:w="1365"/>
        <w:gridCol w:w="60"/>
        <w:gridCol w:w="1164"/>
        <w:gridCol w:w="60"/>
        <w:gridCol w:w="1182"/>
      </w:tblGrid>
      <w:tr>
        <w:trPr/>
        <w:tc>
          <w:tcPr>
            <w:tcW w:w="3254"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Colestipol +</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Neratinib Dose</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Neratinib Dose</w:t>
            </w:r>
          </w:p>
        </w:tc>
      </w:tr>
      <w:tr>
        <w:trPr/>
        <w:tc>
          <w:tcPr>
            <w:tcW w:w="3254" w:type="dxa"/>
            <w:tcBorders/>
            <w:shd w:fill="FFFFFF" w:val="clear"/>
            <w:vAlign w:val="center"/>
          </w:tcPr>
          <w:p>
            <w:pPr>
              <w:pStyle w:val="TableContents"/>
              <w:bidi w:val="0"/>
              <w:spacing w:before="0" w:after="283"/>
              <w:jc w:val="center"/>
              <w:rPr/>
            </w:pPr>
            <w:r>
              <w:rPr/>
              <w:t> </w:t>
            </w:r>
          </w:p>
        </w:tc>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Loperamide</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Escalation</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Escalation</w:t>
            </w:r>
          </w:p>
        </w:tc>
      </w:tr>
      <w:tr>
        <w:trPr/>
        <w:tc>
          <w:tcPr>
            <w:tcW w:w="3254"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Loperamide</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Budesonide</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Colestipol</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Loperamide PRN</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Scheme 1</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Scheme 2</w:t>
            </w:r>
          </w:p>
        </w:tc>
      </w:tr>
      <w:tr>
        <w:trPr/>
        <w:tc>
          <w:tcPr>
            <w:tcW w:w="3254" w:type="dxa"/>
            <w:tcBorders/>
            <w:shd w:fill="FFFFFF" w:val="clear"/>
            <w:vAlign w:val="center"/>
          </w:tcPr>
          <w:p>
            <w:pPr>
              <w:pStyle w:val="TableContents"/>
              <w:bidi w:val="0"/>
              <w:spacing w:before="0" w:after="283"/>
              <w:jc w:val="left"/>
              <w:rPr/>
            </w:pPr>
            <w:r>
              <w:rPr/>
              <w:t> </w:t>
            </w:r>
          </w:p>
        </w:tc>
        <w:tc>
          <w:tcPr>
            <w:tcW w:w="10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(N=137)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(N=136)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(N=104)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(N=62)</w:t>
            </w:r>
          </w:p>
        </w:tc>
      </w:tr>
      <w:tr>
        <w:trPr/>
        <w:tc>
          <w:tcPr>
            <w:tcW w:w="325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incidence of diarrhea by worst grade - n (%)</w:t>
            </w:r>
          </w:p>
        </w:tc>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r>
      <w:tr>
        <w:trPr/>
        <w:tc>
          <w:tcPr>
            <w:tcW w:w="32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grade</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 (80)</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 (86)</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 (83)</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 (95)</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 (98)</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 (98)</w:t>
            </w:r>
          </w:p>
        </w:tc>
      </w:tr>
      <w:tr>
        <w:trPr/>
        <w:tc>
          <w:tcPr>
            <w:tcW w:w="32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Grade 1</w:t>
            </w:r>
          </w:p>
        </w:tc>
        <w:tc>
          <w:tcPr>
            <w:tcW w:w="107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 (24)</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 (23)</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 (28)</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 (33)</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 (40)</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 (37)</w:t>
            </w:r>
          </w:p>
        </w:tc>
      </w:tr>
      <w:tr>
        <w:trPr/>
        <w:tc>
          <w:tcPr>
            <w:tcW w:w="32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Grade 2</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 (25)</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 (34)</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 (35)</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 (30)</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 (45)</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 (34)</w:t>
            </w:r>
          </w:p>
        </w:tc>
      </w:tr>
      <w:tr>
        <w:trPr/>
        <w:tc>
          <w:tcPr>
            <w:tcW w:w="32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Grade 3</w:t>
            </w:r>
          </w:p>
        </w:tc>
        <w:tc>
          <w:tcPr>
            <w:tcW w:w="107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 (31)</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 (28)</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 (21)</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 (33)</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 (13)</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 (27)</w:t>
            </w:r>
          </w:p>
        </w:tc>
      </w:tr>
      <w:tr>
        <w:trPr/>
        <w:tc>
          <w:tcPr>
            <w:tcW w:w="32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Grade 4</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r>
        <w:trPr/>
        <w:tc>
          <w:tcPr>
            <w:tcW w:w="43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r>
      <w:tr>
        <w:trPr/>
        <w:tc>
          <w:tcPr>
            <w:tcW w:w="325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Diarrhea leading to discontinuation</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 (20)</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 (11)</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 (4)</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 (8)</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 (3)</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 (6)</w:t>
            </w:r>
          </w:p>
        </w:tc>
      </w:tr>
      <w:tr>
        <w:trPr/>
        <w:tc>
          <w:tcPr>
            <w:tcW w:w="3254"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r>
      <w:tr>
        <w:trPr/>
        <w:tc>
          <w:tcPr>
            <w:tcW w:w="32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Hospitalization (due to diarrhea)</w:t>
            </w:r>
          </w:p>
        </w:tc>
        <w:tc>
          <w:tcPr>
            <w:tcW w:w="107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 (1)</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r>
        <w:trPr/>
        <w:tc>
          <w:tcPr>
            <w:tcW w:w="3254"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Adoption of neratinib dose escalation at the initiation of treatment, particularly the 2-week DE schedule (“DE1”), most markedly reduced the incidence, severity, and duration of neratinib-associated grade 3 diarrhea in CONTROL compared to other treatment cohorts. Both DE strategies showed a lower incidence of grade 3 diarrhea (DE1 13%; DE2 27%) compared with that observed in the ExteNET trial (historical control: 39.8%). No grade 4 diarrhea was reported in any cohort. The median cumulative duration of grade 3 diarrhea ranged from 2 – 2.5 days across the CONTROL DE study cohorts for the entire 12-month treatment period (compared with 5.0 days for ExteNET). The proportion of patients discontinuing neratinib because of diarrhea was lower in both DE cohorts (DE1 3%; DE2 6%) compared with ExteNET (17%). The adoption of neratinib DE + loperamide PRN during the first 2 weeks of treatment (DE1 cohort) was associated with the lowest rate of grade 3 diarrhea during the trial compared with all other anti-diarrheal strategies investigated in CONTROL. These final findings from the CONTROL study showed improved tolerability of neratinib with all diarrhea prophylaxis strategies and suggest that neratinib DE1 with loperamide PRN may allow patients to stay on treatment longer and receive the full benefit of neratinib therapy. This study is complete, and the results have been submitted to multiple global Health Authorities to support the addition of a dose escalation regimen to approved package inserts.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Dose escalation as an approach to improve the tolerability of neratinib in the treatment of adjuvant HER2-positive Breast Cancer (BINV-L) is included in the NCCN treatment guidelines. This inclusion aligns with the labeling supplement to the U.S. Prescribing Information approved by the FDA in June 2021, which incorporated the use of NERLYNX dose escalation as evaluated in the Phase II CONTROL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b/>
          <w:i/>
          <w:caps w:val="false"/>
          <w:smallCaps w:val="false"/>
          <w:sz w:val="20"/>
        </w:rPr>
        <w:t>Neratinib</w:t>
      </w:r>
      <w:r>
        <w:rPr>
          <w:rFonts w:ascii="Times New Roman" w:hAnsi="Times New Roman"/>
          <w:caps w:val="false"/>
          <w:smallCaps w:val="false"/>
          <w:sz w:val="20"/>
        </w:rPr>
        <w:t>—</w:t>
      </w:r>
      <w:r>
        <w:rPr>
          <w:rFonts w:ascii="Times New Roman" w:hAnsi="Times New Roman"/>
          <w:b/>
          <w:i/>
          <w:caps w:val="false"/>
          <w:smallCaps w:val="false"/>
          <w:sz w:val="20"/>
        </w:rPr>
        <w:t xml:space="preserve">Metastatic Breast Cancer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February 2020, the FDA approved our supplemental New Drug Application (“NDA”) for the use of neratinib in combination with capecitabine for the treatment of adult patients with advanced or metastatic HER2-positive breast cancer who have received two or more prior anti-HER2-based regimens in the metastatic setting. This approval was based on the results from our NALA trial.</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NALA.</w:t>
      </w:r>
      <w:r>
        <w:rPr>
          <w:rFonts w:ascii="Times New Roman" w:hAnsi="Times New Roman"/>
          <w:caps w:val="false"/>
          <w:smallCaps w:val="false"/>
          <w:sz w:val="20"/>
        </w:rPr>
        <w:t xml:space="preserve"> In February 2013, we reached agreement with the FDA under a Special Protocol Assessment (“SPA”) for our Phase III clinical trial (PUMA-NER-1301 or the NALA trial) of neratinib in patients with HER2-positive metastatic breast cancer who have failed two or more prior treatments (third-line disease). An SPA is a written agreement between the trial’s sponsor and the FDA regarding the design, endpoints, and planned statistical analysis of the Phase III trial with respect to the effectiveness of neratinib for the indication to be studied to support an NDA. The European Medicines Agency (“EMA”) also provided follow-on Scientific Advice (“SA”) consistent with that of the FDA regarding our Phase III trial design and endpoints used for such design to support the submission of a marketing authorization application (“MAA”) 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SPA and SA, the Phase III NALA trial was designed as a randomized controlled trial of neratinib plus capecitabine versus Tykerb® (lapatinib) plus capecitabine in patients with third-line HER2-positive metastatic breast cancer. The trial enrolled 621 patients who were randomized (1:1) to receive either neratinib plus capecitabine or lapatinib plus capecitabine. The trial was conducted globally at sites in North America, Europe, Asia-Pacific and South America. The co-primary endpoints of the trial were centrally confirmed PFS and overall survival (“OS”). An alpha level of 1% was allocated to the PFS and 4% allocated to OS.</w:t>
      </w:r>
    </w:p>
    <w:p>
      <w:pPr>
        <w:pStyle w:val="TextBody"/>
        <w:bidi w:val="0"/>
        <w:spacing w:before="0" w:after="0"/>
        <w:ind w:left="16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June 2019, we announced that results from the Phase III NALA trial were presented at the ASCO 2019 Annual Meeting in Chicago. For the primary analysis of centrally confirmed PFS, treatment with neratinib plus capecitabine resulted in a statistically significant improvement in centrally confirmed PFS (hazard ratio=0.76, p=0.0059) compared to treatment with lapatinib plus capecitabine. Because the hazard ratio was found to not be constant over time (i.e., the proportional hazard assumption did not hold), the statistical analysis plan for the NALA trial prespecified that a restricted means survival analysis at 24 months would be performed. In this prespecified analysis, the mean PFS for the patients treated with neratinib plus capecitabine was 8.8 months and the mean PFS for the patients treated with lapatinib plus capecitabine was 6.6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primary analyses of OS, neratinib plus capecitabine resulted in an improvement in OS that, although not statistically significant, trended numerically in favor of the neratinib plus capecitabine arm of the study (hazard ratio = 0.88, p=0.21). The median OS for the patients treated with neratinib plus capecitabine was 21.0 months and the median OS for the patients treated with lapatinib plus capecitabine was 18.7 months. In the prespecified restricted means analysis, the mean OS at 48 months for the patients treated with neratinib plus capecitabine was 24.0 months and the mean OS for the patients treated with lapatinib plus capecitabine was 22.2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secondary endpoint of time to intervention for symptomatic central nervous system disease (also referred to as brain metastases), the results of the trial showed that treatment with neratinib plus capecitabine led to an improvement over the combination of lapatinib plus capecitabine. The overall cumulative incidence of CNS metastases was 22.8% for the neratinib plus capecitabine arm and 29.2% for the lapatinib plus capecitabine arm (p=0.043). For the secondary endpoint of duration of response, neratinib plus capecitabine treatment resulted in a longer duration of response compared to lapatinib and capecitabine treatment, with a median response of 8.54 months compared to a median response of 5.55 months (HR = 0.495, p = 0.0004).</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Treatment-emergent adverse events (“TEAEs”) were similar between arms: TEAEs leading to neratinib/lapatinib discontinuation were lower with neratinib (10.9%) than with lapatinib (14.5%). There was a higher rate of grade 3 diarrhea with neratinib plus capecitabine compared to lapatinib plus capecitabine (24.4% vs 12.5%); however, the discontinuations due to diarrhea (neratinib plus capecitabine: 2.6%, lapatinib plus capecitabine: 2.3%) were similar in both 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plus capecitabine is included in the body of the NCCN Practice Guidelines for Breast Cancer for the treatment of recurrent unresectable (local or regional) or stage IV (M1) HER2-positive Breast Cancer (BINV-Q), with a recommendation for Fourth Line and Beyond (optimal sequence is not known). Dose escalation of neratinib is included as an approach to improve the tolerability of neratinib in the treatment of metastatic HER2-positive breast cancer.</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Metastatic Breast Cancer with Brain Metastases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Approximately one-half of the patients with HER2-positive metastatic breast cancer develop metastases that spread to their brain. The current antibody-based treatments, including trastuzumab and pertuzumab, do not enter the brain and therefore are not believed to be effective in treating these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Neratinib was evaluated in a clinical trial with the Translational Breast Cancer Research Consortium, referred to as TBCRC 022. The purpose of the study was to determine how well neratinib worked in treating breast cancer that had spread to the brain. In this research study, the investigators looked to see how well neratinib worked to decrease the size of or stabilize breast cancer that had metastasized to the brain.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June 2017, we presented interim data from TBCRC 022 at the ASCO 2017 Annual Meeting. The multicenter Phase II clinical trial enrolled patients with HER2-positive metastatic breast cancer who had brain metastases. The trial initially enrolled three cohorts of patients. Patients in the second cohort (n=5) represent patients who had brain metastases that were amenable to surgery and who were administered neratinib monotherapy prior to and after surgical resection. The third cohort (target enrollment=60) enrolled two sub-groups of patients (prior lapatinib-treated and no prior lapatinib) with progressive brain metastases who were administered neratinib in combination with the chemotherapy drug capecitabine. The oral presentation reflected only the patients in the third cohort of patients without prior lapatinib exposure (cohort 3A, n=37), who all had progressive brain metastases at the time of enrollment and who received the combination of capecitabine plus 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cohort 3A, 30% of the patients had received prior craniotomy, 65% of the patients had received prior whole brain radiotherapy, and 35% had received prior stereotactic radiosurgery to the brain. No patients had received prior treatment with lapatinib.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primary endpoint of the trial was CNS Objective Response Rate according to composite criteria that included volumetric brain MRI measurements, steroid use, neurological signs and symptoms, and Response Evaluation Criteria in Solid Tumors (“RECIST”) evaluation for non-CNS sites. The secondary endpoint of the trial was CNS response by Response Assessment in Neuro-Oncology-Brain Metastases (“RANO-BM”) criteria. The efficacy results from the trial showed that 49% of patients experienced a CNS Objective Response by the composite criteria. The results also showed that the CNS response rate using the RANO-BM criteria was 24%. The median time to CNS progression was 5.5 months and the median overall survival was 13.5 months, though 49% of patients remain alive and survival data are immature.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results for cohort 3A showed that the most frequently observed severe adverse event for the 37 patients evaluable for safety was diarrhea. Patients received antidiarrheal prophylaxis consisting of high dose loperamide, given together with the combination of capecitabine plus neratinib for the first cycle of treatment in order to try to reduce the neratinib-related diarrhea. Among the 37 patients evaluable for safety, 32% of the patients had grade 3 diarrhea and 41% had grade 2 diarrhea.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Updated results from an additional TBCRC 022 cohort were presented in December 2022 at the 2022 San Antonio Breast Cancer Symposium. This presentation outlined updates from three sub-cohorts of cohort 4: 4A – patients with previously untreated Breast Cancer Brain Metastases (“BCBM”); 4B – patients with BCBM progressing after prior local CNS-directed therapy without prior T-DM1 exposure; and 4C – patients with BCBM progressing after prior local CNS-directed therapy with previous T-DM1 exposure. Patients with measurable HER2-positive BCBM received neratinib 160 mg orally once daily plus T-DM1 3.6 mg/kg intravenously every 21 days in the three parallel-enrolling cohorts. Diarrhea prophylaxis with colestipol and loperamide was required during cycle 1. All enrolled patients underwent a brain MRI plus CT scan of the chest/abdomen/pelvis every six weeks for 18 weeks, followed by every nine weeks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primary endpoint, Response Assessment in Neuro-Oncology-Brain Metastases (“RANO-BM”), was evaluated in each cohort separately. The efficacy results from the trial showed that CNS Objective Response Rate by RANO-BM was 33.3% of patients in cohort 4A, 29.4% in cohort 4B, and 28.6% in cohort 4C. Rates of response + stable disease greater than or equal to six months were 50% in cohort 4A, 35.3% in cohort 4B, and 33.3% in cohort 4C.</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Intracranial activity was observed for the combination of neratinib plus T-DM1 in all three cohorts, including in patients with prior T-DM1 exposure, suggesting a reversal of resistance to T-DM1. Overall, the most frequently observed adverse event was diarrhea, grade 2 (32%) and grade 3 (23%).</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April 2018, we announced that NERLYNX has been included as a recommended treatment option in the latest NCCN Clinical Practice Guidelines in Oncology Central Nervous System Cancers (“CNS Guidelines”) for patients with breast cancer and brain metastases. The NCCN designated NERLYNX in combination with capecitabine as a category 2A treatment option and NERLYNX in combination with paclitaxel as a category 2B treatment option. Use of NERLYNX for breast cancer patients with brain metastases is outside the FDA-approved indication for NERLYNX and considered investigational, and we do not market or promote NERLYNX for these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Based upon data from the TBCRC 022 study, NERLYNX plus KADCYLA (T-DM1) was added in June 2025 to the NCCN CNS Guidelines for patients with HER2-positive breast cancer with brain metastases as a category 2A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b/>
          <w:i/>
          <w:caps w:val="false"/>
          <w:smallCaps w:val="false"/>
          <w:sz w:val="20"/>
        </w:rPr>
        <w:t>Neratinib</w:t>
      </w:r>
      <w:r>
        <w:rPr>
          <w:rFonts w:ascii="Times New Roman" w:hAnsi="Times New Roman"/>
          <w:caps w:val="false"/>
          <w:smallCaps w:val="false"/>
          <w:sz w:val="20"/>
        </w:rPr>
        <w:t>—</w:t>
      </w:r>
      <w:r>
        <w:rPr>
          <w:rFonts w:ascii="Times New Roman" w:hAnsi="Times New Roman"/>
          <w:b/>
          <w:i/>
          <w:caps w:val="false"/>
          <w:smallCaps w:val="false"/>
          <w:sz w:val="20"/>
        </w:rPr>
        <w:t xml:space="preserve">Other Potential Applications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While we believe neratinib has potential applications in other diseases, such as </w:t>
      </w:r>
      <w:r>
        <w:rPr>
          <w:rFonts w:ascii="Times New Roman" w:hAnsi="Times New Roman"/>
          <w:i/>
          <w:caps w:val="false"/>
          <w:smallCaps w:val="false"/>
          <w:sz w:val="20"/>
        </w:rPr>
        <w:t>HER2</w:t>
      </w:r>
      <w:r>
        <w:rPr>
          <w:rFonts w:ascii="Times New Roman" w:hAnsi="Times New Roman"/>
          <w:caps w:val="false"/>
          <w:smallCaps w:val="false"/>
          <w:sz w:val="20"/>
        </w:rPr>
        <w:t xml:space="preserve">-mutated solid tumors, as well as </w:t>
      </w:r>
      <w:r>
        <w:rPr>
          <w:rFonts w:ascii="Times New Roman" w:hAnsi="Times New Roman"/>
          <w:i/>
          <w:caps w:val="false"/>
          <w:smallCaps w:val="false"/>
          <w:sz w:val="20"/>
        </w:rPr>
        <w:t>EGFR</w:t>
      </w:r>
      <w:r>
        <w:rPr>
          <w:rFonts w:ascii="Times New Roman" w:hAnsi="Times New Roman"/>
          <w:caps w:val="false"/>
          <w:smallCaps w:val="false"/>
          <w:sz w:val="20"/>
        </w:rPr>
        <w:t xml:space="preserve"> exon 18-mutated non-small cell lung cancer, we are not currently pursuing additional development in these indications at this time.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combinations are included in the body of the NCCN Practice Guidelines for Breast Cancer for patients with HER2-negative metastatic (stage IV) breast cancer and activating mutations in the </w:t>
      </w:r>
      <w:r>
        <w:rPr>
          <w:rFonts w:ascii="Times New Roman" w:hAnsi="Times New Roman"/>
          <w:i/>
          <w:caps w:val="false"/>
          <w:smallCaps w:val="false"/>
          <w:sz w:val="20"/>
        </w:rPr>
        <w:t>HER2</w:t>
      </w:r>
      <w:r>
        <w:rPr>
          <w:rFonts w:ascii="Times New Roman" w:hAnsi="Times New Roman"/>
          <w:caps w:val="false"/>
          <w:smallCaps w:val="false"/>
          <w:sz w:val="20"/>
        </w:rPr>
        <w:t> gene as detected by next generation sequencing of tumor tissue or ctDNA under the heading Useful in Certain Circumstances (BINV-Q). NERLYNX is included (i) with or without fulvestrant and (ii) with or without trastuzumab/fulvestrant. This inclusion is described in a table entitled, “Emerging Biomarkers to Identify Novel Therapies for Patients with Stage IV (M1) Disease,” within the NCCN Practice Guidelines for Breast Cancer. Dose escalation of neratinib is included as an approach to improve the tolerability of neratinib in the treatment of metastatic HER2-positive breast cancer.</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NERLYNX monotherapy is also included in the body of the NCCN Practice Guidelines for Cervical Cancer for use as a second-line or subsequent therapy for patients with recurrent or metastatic cervical cancer and a mutation in the </w:t>
      </w:r>
      <w:r>
        <w:rPr>
          <w:rFonts w:ascii="Times New Roman" w:hAnsi="Times New Roman"/>
          <w:i/>
          <w:caps w:val="false"/>
          <w:smallCaps w:val="false"/>
          <w:sz w:val="20"/>
          <w:shd w:fill="FFFFFF" w:val="clear"/>
        </w:rPr>
        <w:t>HER2</w:t>
      </w:r>
      <w:r>
        <w:rPr>
          <w:rFonts w:ascii="Times New Roman" w:hAnsi="Times New Roman"/>
          <w:caps w:val="false"/>
          <w:smallCaps w:val="false"/>
          <w:sz w:val="20"/>
          <w:shd w:fill="FFFFFF" w:val="clear"/>
        </w:rPr>
        <w:t xml:space="preserve"> gene. NERLYNX is included in CERV-F under the heading Useful in Certain Circumstances and designated as a category 2A treatment option. Use of NERLYNX in cervical cancer patients is outside the FDA-approved indication for NERLYNX and considered investigational, and we may not market or promote NERLYNX for these uses.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Neratinib is also being investigated in an ongoing Phase 1 trial (NCT05372614) that is sponsored by the National Cancer Institute to evaluate the combination of neratinib and fam-trastuzumab deruxtecan (ENHERTU®) in patients with metastatic solid tumors. The Phase 1 trial includes patients with metastatic solid tumors harboring HER2-overexpression (immunohistochemistry 3+), ERBB2 amplifications, or activating HER2 mutations. The primary objectives are to assess safety and tolerability of the combination, and the secondary objectives include evaluating pharmacokinetics, preliminary efficacy, and potential biomarkers of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Alisertib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Alisertib is an investigational reversible, ATP-competitive inhibitor that is designed to be highly selective for Aurora Kinase A. Inhibition of Aurora Kinase A leads to disruption of mitotic spindle apparatus assembly, disruption of chromosome segregation, and inhibition of cell proliferation. In clinical trials to date, alisertib had shown single agent activity and activity in combination with other cancer drugs in the treatment of many different types of cancers, including hormone receptor-positive breast cancer, triple negative breast cancer, small cell lung cancer and head and neck cancer. The drug has also shown activity in previous clinical trials in peripheral T cell lymphoma and non-Hodgkin's lymphoma. Prior to our licensing alisertib from Takeda the drug was tested in over 1,300 patients who were treated across 22 company sponsored trials resulting in a large well characterized clinical safety database.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intend to pursue the development of alisertib in hormone receptor-positive. HER2-negative, breast cancer as well as small cell lung cancer based on the prior clinical data that has been generated. We also plan to evaluate alisertib in biomarker focused populations where it has shown a higher degree of activity, such as patients with c-Myc amplification and RB1 loss/RB1 mutations, as we believe that this may provide a point of differentiation from the other drugs being developed in the treatment of these diseases. During 2023, we met with the FDA to discuss our alisertib clinical development plan in both proposed indications and discussed potential dosing schedules for alisertib. Following comments from the FDA on the proposed clin</w:t>
      </w:r>
      <w:r>
        <w:rPr>
          <w:rFonts w:ascii="Times New Roman" w:hAnsi="Times New Roman"/>
          <w:caps w:val="false"/>
          <w:smallCaps w:val="false"/>
          <w:sz w:val="20"/>
          <w:shd w:fill="FFFFFF" w:val="clear"/>
        </w:rPr>
        <w:t>ical development plans, we initiated clinical trials for both small cell lung cancer and breast cancer in 2024 and completed enrollment in the breast cancer clinical trial in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Alisertib in Small Cell Lung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a Phase II trial that was published in </w:t>
      </w:r>
      <w:r>
        <w:rPr>
          <w:rFonts w:ascii="Times New Roman" w:hAnsi="Times New Roman"/>
          <w:i/>
          <w:caps w:val="false"/>
          <w:smallCaps w:val="false"/>
          <w:sz w:val="20"/>
        </w:rPr>
        <w:t>Lancet Oncology</w:t>
      </w:r>
      <w:r>
        <w:rPr>
          <w:rFonts w:ascii="Times New Roman" w:hAnsi="Times New Roman"/>
          <w:caps w:val="false"/>
          <w:smallCaps w:val="false"/>
          <w:sz w:val="20"/>
        </w:rPr>
        <w:t xml:space="preserve"> in 2015, alisertib was tested as a single agent in several cohorts of patients with solid tumors. These included small cell lung cancer as well as breast cancer. In small cell lung cancer, the study design involved the administration of alisertib to patients who had previously received up to two prior cytotoxic regimens in the metastatic setting. Patients were administered alisertib monotherapy at a dose of 50 mg twice a day (“BID”) for seven days followed by a 14-day break.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patients with chemotherapy sensitive disease, alisertib resulted in a response rate of 19% and a duration of response of 3.1 months. For the patients with chemotherapy refractory disease or chemotherapy resistant disease, alisertib resulted in a response rate of 25% and a duration of response of 4.3 months. The main grade 3 or higher adverse events (“AEs”) seen in the trial were neutropenia, anemia, leukopenia and thrombocytopenia.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Alisertib was also tested in a randomized Phase II trial of paclitaxel plus alisertib versus paclitaxel plus placebo in patients with second line small cell lung cancer, the results of which were published in the </w:t>
      </w:r>
      <w:r>
        <w:rPr>
          <w:rFonts w:ascii="Times New Roman" w:hAnsi="Times New Roman"/>
          <w:i/>
          <w:caps w:val="false"/>
          <w:smallCaps w:val="false"/>
          <w:sz w:val="20"/>
        </w:rPr>
        <w:t>Journal of Thoracic Oncology</w:t>
      </w:r>
      <w:r>
        <w:rPr>
          <w:rFonts w:ascii="Times New Roman" w:hAnsi="Times New Roman"/>
          <w:caps w:val="false"/>
          <w:smallCaps w:val="false"/>
          <w:sz w:val="20"/>
        </w:rPr>
        <w:t xml:space="preserve"> in 2020. In the trial, alisertib was dosed at 40 mg BID for 3 weeks on days 1–3, 8–10, and 15–17 plus paclitaxel (60 mg/m2 intravenously on days 1, 8, and 15) whereas the comparator arm received placebo plus paclitaxel (80 mg/m2 intravenously on days 1, 8, and 15) in 28-day cycles.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Randomization was stratified by type of relapse after primary treatment, based on the common definition for each type (with sensitive defined as relapsed greater than 90 but less than 180 days after primary treatment and resistant or refractory defined as relapsed less than or equal to 90 days after primary treatment). The protocol was initially written by the sponsor to record relapse type as the time from initial response. The protocol was corrected approximately midway through the trial to correct the stratification definition of relapse type after primary treatment so that relapses were recorded “from last administration of platinum-based chemotherapy,” which is in line with the NCCN treatment guidelines and clinical treatment practice rather than “from initial response.” To maintain balance, the primary end point of PFS was analyzed by using the original stratification definition of relapse type. However, a sensitivity analysis that used the corrected stratification definition was also performed. The trial also incorporated an extensive biomarker analysis with a prespecified analysis of c-Myc expression an</w:t>
      </w:r>
      <w:r>
        <w:rPr>
          <w:rFonts w:ascii="Times New Roman" w:hAnsi="Times New Roman"/>
          <w:caps w:val="false"/>
          <w:smallCaps w:val="false"/>
          <w:sz w:val="20"/>
          <w:shd w:fill="FFFFFF" w:val="clear"/>
        </w:rPr>
        <w:t>d an exploratory, retrospectiv</w:t>
      </w:r>
      <w:r>
        <w:rPr>
          <w:rFonts w:ascii="Times New Roman" w:hAnsi="Times New Roman"/>
          <w:caps w:val="false"/>
          <w:smallCaps w:val="false"/>
          <w:sz w:val="20"/>
        </w:rPr>
        <w:t>e analysis of genetic alterations in circulating tumor DNA (“ctDNA”) with clinical outcome.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primary endpoint in the trial was PFS. For the intent to treat (“ITT”) population the hazard ratio using the original definition was 0.77 with a p value of 0.113. Using the corrected definition of relapse type, the hazard ratio was 0.71 with a p value of 0.038. For the patients with chemotherapy resistant or refractory relapse the hazard ratio was 0.66 with a p value of 0.037. For the ITT population the OS data showed a hazard ratio of 0.87 with a p value of 0.714 and using the corrected definition the hazard ratio was 0.79 with a p value of 0.209. Higher rates of grade 3 or higher AEs were seen in the alisertib arm for neutropenia, anemia and decreased neutrophil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patients in the trial who were found to be positive for c-Myc expression by immunohistochemistry the hazard ratio in the trial was 0.29 with a median PFS for the paclitaxel plus alisertib arm of 4.64 months and a median PFS for the placebo plus paclitaxel arm of 2.27 months. The trial also incorporated an analysis of patients with alterations in cell cycle genes including cyclin-dependent kinase 6 gene (CDK6), retinoblastoma-like 1 gene (RBL1), retinoblastoma-like 2 gene (RBL2), and retinoblastoma 1 gene (RB1). Of note RB1 mutations were the most frequent mutation with approximately 60% of the patients having RB1 mutations while CDK6, RBL1 and RBL2 mutations were found with very low frequency. For patients with cell cycles mutations (RB1, CDK6, RBL1 and RBL2), the PFS in the paclitaxel plus alisertib arm was 3.68 months while the placebo plus paclitaxel arm was 1.8 months and the hazard ratio was 0.395 with a p value of 0.003. The overall survival in this subgroup of patients was 7.2 months for the alisertib arm and 4.47 months for the placebo arm with a hazard ratio of 0.427 and a p value of 0.00085.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 xml:space="preserve">Development plan. </w:t>
      </w:r>
      <w:r>
        <w:rPr>
          <w:rFonts w:ascii="Times New Roman" w:hAnsi="Times New Roman"/>
          <w:caps w:val="false"/>
          <w:smallCaps w:val="false"/>
          <w:sz w:val="20"/>
        </w:rPr>
        <w:t>In the United States, approximately 31,000 to 33,000 individuals are newly diagnosed with small cell lung cancer each year and approximately 16,000 to 17,000 patients die from the disease annually. There are two biomarkers of interest, c-Myc expression and RB1 mutations, that we intend to study with alisertib based on prior clinical trial results which may provide differentiation from other drugs in development. According to published biomarker data from an alisertib clinical trial, approximately 72% of samples from patients with small cell lung cancer had c-Myc expression and approximately 60-80% had RB1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August 2023, we announced that we had been notified by the FDA that we can proceed under our Investigational New Drug application (“IND”) with the clinical development of alisertib monotherapy for the treatment of patients with extensive stage small cell lung cancer. Our Phase II trial ALISertib in CAncer (ALISCA™-Lung1) Phase II trial (PUMA-ALI-4201)) will enroll up to 60 patients with extensive stage small cell lung cancer who have progressed after first-line platinum-based chemotherapy and immunotherapy. Patients must provide tissue-based biopsies so that biomarkers can be analyzed. Alisertib will be dosed at 50 mg BID on days 1-7 of every 21-day cycle. In February 2024 we announced that we initiated the Phase II ALISCATM-Lung1 trial. This trial was amended in August 2025 to evaluate a higher dose of 60mg BID. This study is ongoing and actively recruiting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primary endpoint of the trial is objective response rate with secondary endpoints of duration of response, disease control rate, PFS and overall survival. We will look at each of these endpoints within selected pre-specified biomarker subgroups to assess whether there is enhanced efficacy in any biomarker subgroup. We will perform a biomarker analysis of the ALI-4201 trial in parallel with the execution of the clinical trial. We plan to perform an initial interim analysis for the evaluation of the biomarkers as well as an evaluation of the efficacy. Based upon the outcomes of the study, we anticipate meeting with the FDA to explore the potential for an accelerated approval pathway for alisertib in small cell lung cancer.</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Alisertib in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the same Phase II trial of alisertib monotherapy that was published in </w:t>
      </w:r>
      <w:r>
        <w:rPr>
          <w:rFonts w:ascii="Times New Roman" w:hAnsi="Times New Roman"/>
          <w:i/>
          <w:caps w:val="false"/>
          <w:smallCaps w:val="false"/>
          <w:sz w:val="20"/>
        </w:rPr>
        <w:t>Lancet Oncology</w:t>
      </w:r>
      <w:r>
        <w:rPr>
          <w:rFonts w:ascii="Times New Roman" w:hAnsi="Times New Roman"/>
          <w:caps w:val="false"/>
          <w:smallCaps w:val="false"/>
          <w:sz w:val="20"/>
        </w:rPr>
        <w:t xml:space="preserve"> in 2015, alisertib was also tested in patients with HER2-negative, hormone receptor-positive breast cancer, HER2-positive breast cancer and triple negative breast cancer. Patients were administered alisertib monotherapy at a dose of 50 mg BID for seven days followed by a 14-day break. In the cohort of patients with HER2-negative, hormone receptor-positive breast cancer, treatment with alisertib resulted in a response rate of 23% with a PFS of 7.9 months. The main grade 3/4 AEs seen were neutropenia, leukopenia, stomatitis and fatigue.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Alisertib was also tested in a randomized Phase II trial in hormone receptor-positive, HER2-negative metastatic breast cancer patients that was presented at the San Antonio Breast Cancer Symposium in 2020 and published in </w:t>
      </w:r>
      <w:r>
        <w:rPr>
          <w:rFonts w:ascii="Times New Roman" w:hAnsi="Times New Roman"/>
          <w:i/>
          <w:caps w:val="false"/>
          <w:smallCaps w:val="false"/>
          <w:sz w:val="20"/>
        </w:rPr>
        <w:t>JAMA Oncology</w:t>
      </w:r>
      <w:r>
        <w:rPr>
          <w:rFonts w:ascii="Times New Roman" w:hAnsi="Times New Roman"/>
          <w:caps w:val="false"/>
          <w:smallCaps w:val="false"/>
          <w:sz w:val="20"/>
        </w:rPr>
        <w:t xml:space="preserve"> in March 2023. In this trial alisertib was dosed at 50 mg BID on days 1-3, 8-10 and 15-17 on a 28 day cycle while fulvestrant was dosed at its approved dose of 500 mg IM on days 1 and 15. The baseline characteristics from the trial were well balanced although a higher percentage of patients with prior chemotherapy given in the metastatic setting were present in the alisertib plus fulvestrant arm. Of note, patients were required to have been treated with prior fulvestrant as an inclusion criteria for the trial.</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results from the trial showed a response rate of 19.6% in the alisertib alone arm and 20.0% in the alisertib plus fulvestrant arm. The median duration of response was 15.1 months for the alisertib alone arm and 8.5 months for the alisertib plus fulvestrant arm. The PFS was 5.6 months in the alisertib alone arm and 5.4 months in the alisertib plus fulvestrant arm. The main AEs seen in the trial were similar to the prior monotherapy trial with incidences of neutropenia, anemia, and decreases in white blood cells and lymphocytes seen.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Alisertib was also tested in a randomized Phase II trial in hormone receptor-positive, HER2-negative metastatic breast cancer and triple negative breast cancer patients, which was published in </w:t>
      </w:r>
      <w:r>
        <w:rPr>
          <w:rFonts w:ascii="Times New Roman" w:hAnsi="Times New Roman"/>
          <w:i/>
          <w:caps w:val="false"/>
          <w:smallCaps w:val="false"/>
          <w:sz w:val="20"/>
        </w:rPr>
        <w:t>JAMA Network Open</w:t>
      </w:r>
      <w:r>
        <w:rPr>
          <w:rFonts w:ascii="Times New Roman" w:hAnsi="Times New Roman"/>
          <w:caps w:val="false"/>
          <w:smallCaps w:val="false"/>
          <w:sz w:val="20"/>
        </w:rPr>
        <w:t xml:space="preserve"> in 2021, in which patients were randomized to receive either paclitaxel plus alisertib or paclitaxel alone. In this trial alisertib was dosed at 40 mg BID on days 1-3, 8-10 and 15-17 on a 28-day cycle while paclitaxel was dosed at 60 mg/m2 on days 1, 8 and 15 of a 28-day cycle. In the control arm paclitaxel was dosed at 90 mg/m2 on days 1, 8 and 15 of a 28-day cycle.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combination of paclitaxel plus alisertib resulted in a statistically significant improvement in PFS with a hazard ratio of 0.56 and a p value of 0.005. The median PFS in the paclitaxel plus alisertib arm was 10.2 months and the median PFS in the paclitaxel alone arm was 7.1 months. Treatment with paclitaxel plus alisertib resulted in a numerically higher but not statistically significant improvement in overall survival where the median OS for the paclitaxel plus alisertib arm was 26.3 months versus 25.1 months for the single agent paclitaxel arm of the trial, which resulted in a hazard ratio of 0.89 and a p value of 0.61.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standard of care for the first line treatment of hormone receptor-positive, HER2-negative metastatic breast cancer in the United States is treatment with Cyclin-dependent kinases (CDK) 4/6 inhibitors (CDK 4/6 inhibitors). In the cohort of patients in the trial who were treated with CDK 4/6 inhibitors, the combination of paclitaxel plus alisertib resulted in a median PFS of 13.9 months while paclitaxel alone resulted in a median PFS of 5.6 months. The hazard ratio was 0.59 with a p value of 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cohort of patients with triple negative breast cancer, the combination of paclitaxel plus alisertib resulted in an improvement in PFS with a hazard ratio of 0.35 and a p value of 0.022. The median PFS in the paclitaxel plus alisertib arm was 9.6 months and the median PFS in the paclitaxel plus placebo arm was 5.7 months. Treatment with paclitaxel plus alisertib resulted in a higher but not statistically significant improvement in overall survival where the median OS for the paclitaxel plus alisertib arm was 16 months versus 12.7 months for the paclitaxel alone arm of the trial, which resulted in a hazard ratio of 0.51 and a p value of 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Higher rates of grade 3 or higher AEs were seen in the paclitaxel plus alisertib arm for neutropenia, leukopenia, diarrhea, mucositis and stomatitis.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Archival tissue samples from patients enrolled in the clinical study were analyzed as part of a biomarker evaluation strategy. Of the 140 patients enrolled in the trial, 45 from the alisertib plus paclitaxel arm and 51 from the paclitaxel arm had sufficient tissue available for next generation sequencing, and 31 from the alisertib plus paclitaxel arm and 35 from the paclitaxel arm had enough for RNA sequencing/gene set enrichment analysis. The most frequently mutated genes were PIK3CA (45%) and TP53 (44%). No mutations were significantly associated with response or resistance to alisertib plus paclitaxel, including those in PIK3CA, TP53, AKT1, HER2, and CDH1.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Increased MYC RNA expression was observed in tumors from patients who did not derive clinical benefit from paclitaxel alone (defined as PFS less than six months) compared to those with benefit from paclitaxel alone (defined as PFS greater than or equal to six months). Increased MYC RNA expression was not observed in patients who did not appear to benefit from alisertib plus paclitaxel. Elevated expression of genes involved in MYC activation and in unfolded protein response (a pro- survival mechanism) were enriched in alisertib plus paclitaxel responders compared to paclitaxel responders and were associated with poor response to paclitaxel alone. In 12 patients with exceptional response to alisertib plus paclitaxel (defined as PFS greater than or equal to 12 months), increased expression of genes involved in MYC activation and in epithelial to mesenchymal transition (a hallmark of cancer progression and metastasis) was observed in comparison to cancers from patients whose disease progressed within six months of initiating alisertib + paclitaxel (n=11) or those with exceptional response to paclitaxel alone (n=4).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 xml:space="preserve">Development plan. </w:t>
      </w:r>
      <w:r>
        <w:rPr>
          <w:rFonts w:ascii="Times New Roman" w:hAnsi="Times New Roman"/>
          <w:caps w:val="false"/>
          <w:smallCaps w:val="false"/>
          <w:sz w:val="20"/>
        </w:rPr>
        <w:t>In the United States the incidence of hormone receptor-positive HER2-negative breast cancer is 40,000 patients per year with 29,700 deaths per year. There are two biomarkers of interest that we intend to study with alisertib, c-Myc amplifications and RB1 mutations/deletions. According to biomarker analyses from clinical trials, approximately 50% of hormone receptor-positive breast cancer tumors may have c-Myc amplifications and approximately 2-9% of hormone receptor-positive HER2-negative breast cancer samples have RB1 mutations detected at the time of resistance to CDK 4/6 inhibitors.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Based on our interactions with the FDA, we initiated a Phase II trial of alisertib in combination with endocrine treatment (consisting of either anastrozole, exemestane, letrozole, fulvestrant or tamoxifen) in patients with chemotherapy-naïve HER2-negative, hormone receptor-positive metastatic breast cancer (ALISCA™-Breast1). Patients must have been previously treated with CDK 4/6 inhibitors and received at least two prior lines of endocrine therapy in the recurrent or metastatic setting to be eligible for the trial. In November 2024, we announced that we initiated the Phase II ALISCATM-Breast1 trial, and the study is actively enrolling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ALISCATM-Breast1 trial is designed to dose patients with alisertib given at either 30 mg, 40 mg or 50 mg twice daily (BID) on days 1-3, 8-10 and 15-17 on a 28-day cycle in combination with the endocrine therapy of the investigator’s choice. Patients must not have been previously treated with the endocrine treatment that will be given in combination with alisertib in the trial. Each dose level is expected to enroll up to 50 patients. Patients must provide blood samples and tissue-based biopsies so that biomarkers can be evaluated. The primary objective is to determine the optimal alisertib dose level administered in combination with selected endocrine therapy to be used in future studies. The primary efficacy end points include objective response rate, duration of response, disease control rate and PFS. As a secondary objective, we will evaluate each of these efficacy endpoints within biomarker subgroups in order to determine whether any biomarker subgroup correlates with more favorable efficacy results, such as those observed in preclinical and clinical studies in other cancers including breast cancer and small cell lung cancer. Pending the outcome of this study, we may then look to focus the future clinical development of alisertib in combination with endocrine therapy for patients with HER2-negative, hormone receptor-positive breast cancer in patients with any potential biomarkers. The trial was designed to enroll a to</w:t>
      </w:r>
      <w:r>
        <w:rPr>
          <w:rFonts w:ascii="Times New Roman" w:hAnsi="Times New Roman"/>
          <w:caps w:val="false"/>
          <w:smallCaps w:val="false"/>
          <w:sz w:val="20"/>
          <w:shd w:fill="FFFFFF" w:val="clear"/>
        </w:rPr>
        <w:t>tal of 150 patients, which was achieved in February 2026. Due to the larger number of patients in screening, we anticipate that the trial will enroll more than 150 patients.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Clinical Testing of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Any drug candidates we seek to develop will require extensive pre-clinical and clinical testing to determine its safety and efficacy in the potential applications before seeking and obtaining regulatory approval. This process is expensive and time consuming. In completing these trials, we are dependent upon third-party consultants, consisting mainly of investigators and collaborators, who will conduct such trials.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and our third-party consultants conduct pre-clinical testing in accordance with Good Laboratory Practices (“GLP”) and clinical testing in accordance with Good Clinical Practice standards (“GCP”), which are international ethical and scientific quality standards utilized for pre-clinical and clinical testing, respectively. GCP is the standard for the design, conduct, performance, monitoring, auditing, recording, analysis and reporting of clinical trials and the FDA requires compliance with GCP regulations in the conduct of clinical trials. Additionally, our pre-clinical and clinical testing completed in the EU is conducted in accordance with applicable EU standards, such as the EU Clinical Trials Regulation (Regulation (EU) No 536/2014 of April 16, 2014), and applicable national laws of the 27 EU member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entered into, and may enter into in the future, master service agreements with CROs with respect to initiating, managing and conducting the clinical trials of our products. These contracts contain standard terms for the type of services provided that contain cancellation clauses requiring between 30 and 45 days written notice and that obligate us to pay for any services previously rendered with prepaid, unused funds being returned to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development and commercialization of new products to treat cancer is highly competitive. Significant financial resources are invested in research, development and commercialization of new cancer products. We have faced and will likely continue to face considerable competition from major pharmaceutical, biotechnology and specialty cancer companies. Our competitors include, but are not limited to, Genentech, Novartis, Roche, Boehringer Ingelheim, Lilly, Merck, AbbVie, Pfizer, Amgen, Daiichi Sankyo, Jazz and Seagen. Merck, AbbVie, Amgen, Daiichi Sankyo and Jazz are developing their drugs for the treatment of small cell lung cancer. All of the other competitors are developing their drugs for the treatment of early stage and/or metastatic HER2-positive breast cancer and/or for cancers that have a HER2 mutation or HER2-negative, hormone receptor-positive metastatic breast cancer. We are aware of the results of the DESTINY-Breast11 neoadjuvant trial, which showed that trastuzumab deruxtecan significantly increased pathologic complete response rates over standard therapy. We are also aware of the results of the DESTINY-Breast05 adjuvant trial of trastuzumab deruxtecan in early stage HER2-positive breast cancer, which showed that trastuzumab deruxtecan reduced the risk of disease recurrence or death in patients with high-risk HER2-positive early breast cancer following neoadjuvant therapy. Lastly, we are aware of the CompassHER2 RD trial of tucatinib in early stage HER2-positive breast cancer. In addition, we are also competing with academic institutions, governmental agencies and private organizations that are conducting research in the field of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a small biotechnology company with a limited history of sales, marketing, operations and commercial manufacturing.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enrolling subjects for our clinical trials, as well as in acquiring technologies complementary to, or necessary for, our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or our collaborators are able to enter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anticipate that we will continue to face significant competition in the ongoing commercialization of NERLYNX and the commercialization of any of our drug candidates that receive marketing approval. Our competition will be determined by several factors including but not limited to the specific indications approved, the timing of any approvals as well as competitive activity and entrants within this space. We expect that competition among products approved for sale will be based on various factors, including safety, efficacy, pricing and contracting, patient support services, access and reimbursement, formulary and pathway adoption as well as patent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currently have an oncology sales force in the United States comprised of approximately 35 sales specialists, four clinical nurse educators, five strategic account managers and one national strategic account director who are focused on promoting NERLYNX to oncologists and the oncology care team. This sales force is supported by an experienced leadership team consisting of five regional business leaders, a Senior Vice President of Sales and a Senior Vice President of Marketing. In addition, the broader commercial team is comprised of experienced professionals in marketing, training, sales operations, global product strategy as well as access and reimbursement. Our commercial infrastructure includes capabilities in manufacturing, regulatory, quality control, and compliance. It is also supported from a clinical and cancer landscape perspective by our medical affairs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launched NERLYNX in the United States in July 2017 with the goal of establishing NERLYNX as the standard of care for the extended adjuvant treatment of adult patients with early stage HER2-positive breast cancer to follow adjuvant trastuzumab-based therapy. In February 2020, NERLYNX was also approved in the United States in combination with capecitabine for the treatment of adult patients with advanced or metastatic HER2-positive breast cancer who have received two or more prior anti-HER2 based regimens in the metastatic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believe that the key commercial priorities for NERLYNX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educating healthcare providers about the evolving clinical data for NERLYNX and its ability to reduce the risk of recurrence in the extended adjuvant setting for patients battling HER2-positive breast cancer;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educating HER2-positive breast cancer patients about the risks of recurrence and empowering them to ask their MDs if NERLYNX is an appropriate option for them;</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10"/>
        <w:gridCol w:w="55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removing access barriers by ensuring broad insurance coverage; and</w:t>
            </w:r>
          </w:p>
        </w:tc>
      </w:tr>
    </w:tbl>
    <w:p>
      <w:pPr>
        <w:pStyle w:val="TextBody"/>
        <w:bidi w:val="0"/>
        <w:spacing w:before="0" w:after="0"/>
        <w:ind w:left="0" w:right="0" w:firstLine="5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providing patients with appropriate co-pay support as well as tools and resources to better maintain persistency and compliance.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we sell our products through a specialty pharmacy network and special distributor network. The specialty pharmacy network sells directly to patients and consists of Accredo, CVS, ONCO 360, Optum and Biologics. Our specialty distributor network sells to hospitals, physician practices and other sites of care and consists of McKesson, ASD/Oncology Supply, Cardinal Health, DMS Pharmaceutical Group and Bio Care.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Outside the United States, we seek to enter into exclusive sub-license agreements with third parties to pursue regulatory approval, if necessary, and commercialize NERLYNX, if approved. In 2018, the EC granted a marketing authorization for NERLYNX in the EU for the extended adjuvant treatment of adult patients with early stage hormone receptor-positive HER2-overexpressed/amplified breast cancer and who completed adjuvant trastuzumab-based therapy less than one year ago. In December 2021, NERLYNX was included in the updated National Reimbursement Drug List (“NRDL”) by the China National Healthcare Security Administration for patients with early stage hormone receptor-positive HER2-overexpressed/amplified breast cancer after adjuvant trastuzumab based therapy. The addition of NERLYNX to the China NRDL now enables broad access to neratinib to more women throughout China. We continue to pursue commercialization of NERLYNX in Europe and other countries outside the United States, where approved. The following table shows the HER2-positive breast cancer approvals for NERLYNX by disease and country:</w:t>
      </w:r>
    </w:p>
    <w:p>
      <w:pPr>
        <w:pStyle w:val="TextBody"/>
        <w:bidi w:val="0"/>
        <w:spacing w:before="0" w:after="0"/>
        <w:ind w:left="0" w:right="0" w:firstLine="560"/>
        <w:jc w:val="left"/>
        <w:rPr>
          <w:caps w:val="false"/>
          <w:smallCaps w:val="false"/>
        </w:rPr>
      </w:pPr>
      <w:r>
        <w:rPr>
          <w:caps w:val="false"/>
          <w:smallCaps w:val="false"/>
        </w:rPr>
        <w:t> </w:t>
      </w:r>
    </w:p>
    <w:tbl>
      <w:tblPr>
        <w:tblW w:w="5165" w:type="dxa"/>
        <w:jc w:val="left"/>
        <w:tblInd w:w="0" w:type="dxa"/>
        <w:tblLayout w:type="fixed"/>
        <w:tblCellMar>
          <w:top w:w="0" w:type="dxa"/>
          <w:left w:w="0" w:type="dxa"/>
          <w:bottom w:w="28" w:type="dxa"/>
          <w:right w:w="0" w:type="dxa"/>
        </w:tblCellMar>
      </w:tblPr>
      <w:tblGrid>
        <w:gridCol w:w="1370"/>
        <w:gridCol w:w="1340"/>
        <w:gridCol w:w="1100"/>
        <w:gridCol w:w="1355"/>
      </w:tblGrid>
      <w:tr>
        <w:trPr/>
        <w:tc>
          <w:tcPr>
            <w:tcW w:w="2710" w:type="dxa"/>
            <w:gridSpan w:val="2"/>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Extended adjuvant</w:t>
            </w:r>
          </w:p>
        </w:tc>
        <w:tc>
          <w:tcPr>
            <w:tcW w:w="2455" w:type="dxa"/>
            <w:gridSpan w:val="2"/>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Metastatic</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2017</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2020</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European Union</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2018</w:t>
            </w:r>
          </w:p>
        </w:tc>
        <w:tc>
          <w:tcPr>
            <w:tcW w:w="1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Argentina</w:t>
            </w:r>
          </w:p>
        </w:tc>
        <w:tc>
          <w:tcPr>
            <w:tcW w:w="13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2021</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Australia</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2019</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Peru</w:t>
            </w:r>
          </w:p>
        </w:tc>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2021</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2019</w:t>
            </w:r>
          </w:p>
        </w:tc>
        <w:tc>
          <w:tcPr>
            <w:tcW w:w="1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Chile</w:t>
            </w:r>
          </w:p>
        </w:tc>
        <w:tc>
          <w:tcPr>
            <w:tcW w:w="13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2021</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Argentina</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2019</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2021</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Hong Kong</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2019</w:t>
            </w:r>
          </w:p>
        </w:tc>
        <w:tc>
          <w:tcPr>
            <w:tcW w:w="1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13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2021</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2019</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Israel</w:t>
            </w:r>
          </w:p>
        </w:tc>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2022</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Switzerland</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2020</w:t>
            </w:r>
          </w:p>
        </w:tc>
        <w:tc>
          <w:tcPr>
            <w:tcW w:w="1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Ecuador</w:t>
            </w:r>
          </w:p>
        </w:tc>
        <w:tc>
          <w:tcPr>
            <w:tcW w:w="13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2022</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Brunei</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2020</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2022</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2020</w:t>
            </w:r>
          </w:p>
        </w:tc>
        <w:tc>
          <w:tcPr>
            <w:tcW w:w="11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Colombia</w:t>
            </w:r>
          </w:p>
        </w:tc>
        <w:tc>
          <w:tcPr>
            <w:tcW w:w="13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2023</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2020</w:t>
            </w:r>
          </w:p>
        </w:tc>
        <w:tc>
          <w:tcPr>
            <w:tcW w:w="1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c>
          <w:tcPr>
            <w:tcW w:w="13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September 2023</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Zealand</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2020</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2023</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2020</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2024</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Ecuador</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2020</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2024</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2020</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Peru</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2021</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Macau</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2021</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2021</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2021</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Mexico</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2022</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2022</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Israel</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2022</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2023</w:t>
            </w:r>
          </w:p>
        </w:tc>
        <w:tc>
          <w:tcPr>
            <w:tcW w:w="1100" w:type="dxa"/>
            <w:tcBorders/>
            <w:shd w:fill="CCEEFF" w:val="clear"/>
            <w:tcMar>
              <w:bottom w:w="0" w:type="dxa"/>
            </w:tcMar>
            <w:vAlign w:val="center"/>
          </w:tcPr>
          <w:p>
            <w:pPr>
              <w:pStyle w:val="TableContents"/>
              <w:bidi w:val="0"/>
              <w:spacing w:before="0" w:after="0"/>
              <w:ind w:left="0" w:right="0" w:hanging="0"/>
              <w:jc w:val="left"/>
              <w:rPr/>
            </w:pPr>
            <w:r>
              <w:rPr/>
              <w:t> </w:t>
            </w:r>
          </w:p>
        </w:tc>
        <w:tc>
          <w:tcPr>
            <w:tcW w:w="135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Morocco</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2023</w:t>
            </w:r>
          </w:p>
        </w:tc>
        <w:tc>
          <w:tcPr>
            <w:tcW w:w="1100" w:type="dxa"/>
            <w:tcBorders/>
            <w:shd w:fill="FFFFFF" w:val="clear"/>
            <w:tcMar>
              <w:bottom w:w="0" w:type="dxa"/>
            </w:tcMar>
            <w:vAlign w:val="center"/>
          </w:tcPr>
          <w:p>
            <w:pPr>
              <w:pStyle w:val="TableContents"/>
              <w:bidi w:val="0"/>
              <w:spacing w:before="0" w:after="0"/>
              <w:ind w:left="0" w:right="0" w:hanging="0"/>
              <w:jc w:val="left"/>
              <w:rPr/>
            </w:pPr>
            <w:r>
              <w:rPr/>
              <w:t> </w:t>
            </w:r>
          </w:p>
        </w:tc>
        <w:tc>
          <w:tcPr>
            <w:tcW w:w="1355" w:type="dxa"/>
            <w:tcBorders/>
            <w:shd w:fill="FFFFFF" w:val="clear"/>
            <w:tcMar>
              <w:bottom w:w="0" w:type="dxa"/>
            </w:tcMar>
            <w:vAlign w:val="center"/>
          </w:tcPr>
          <w:p>
            <w:pPr>
              <w:pStyle w:val="TableContents"/>
              <w:bidi w:val="0"/>
              <w:spacing w:before="0" w:after="0"/>
              <w:jc w:val="left"/>
              <w:rPr/>
            </w:pPr>
            <w:r>
              <w:rPr/>
              <w:t>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UAE</w:t>
            </w:r>
          </w:p>
        </w:tc>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2023</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Syria</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2024</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Saudi Arabia</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Algeria</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2024</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Thailand</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2024</w:t>
            </w:r>
          </w:p>
        </w:tc>
        <w:tc>
          <w:tcPr>
            <w:tcW w:w="110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Iran</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2025</w:t>
            </w:r>
          </w:p>
        </w:tc>
        <w:tc>
          <w:tcPr>
            <w:tcW w:w="110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currently have sub-licenses in each of these regions with third parties that are commercializing NERLYNX in their respective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 and License Agreements</w:t>
      </w:r>
    </w:p>
    <w:p>
      <w:pPr>
        <w:pStyle w:val="TextBody"/>
        <w:bidi w:val="0"/>
        <w:spacing w:before="0" w:after="0"/>
        <w:ind w:left="30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Neratinib Patent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hold a worldwide exclusive license under our license agreement with Pfizer, as amended (the “Pfizer Agreement”) to 21 granted U.S. patents and one pending U.S. patent applications, as well as foreign counterparts thereof, and other patent applications and patents claiming priority therefrom to develop and commercialize certain compounds, including 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we have a license to an issued patent, which is set to expire in 2030, for the composition of matter of neratinib, our lead compound. We also have a license to an issued U.S. patent for the use of neratinib in the extended adjuvant treatment of early stage HER2-positive breast cancer that has previously been treated with a trastuzumab containing regimen that expires in 2030, two issued patents for the use of neratinib in combination with capecitabine, the latter of which is set to expire in 2031, and two issued patents for the formulation of NERLYNX® that are set to expire in 2030; two issued patents for the polymorphic forms of neratinib which are set to expire in 2028; one issued patent for the preparation of the polymorphic forms of neratinib which is set to expire in 2028; and three issued patents for the use of the polymorphic forms of neratinib in the treatment of breast cancer which are set to expire in 2028. In jurisdictions which permit such, we will seek patent term extensions where possible for certain of our patents (discussed further below, including in “Government Regulation”). We plan to pursue additional patents in and outside the United States, based on our existing neratinib patent portfolio, that covers neratinib composition, formulations, and combinations and uses thereof, and additional therapeutic uses of neratinib. In addition, we will pursue patent protection for any new discoveries or inventions made in the course of our development of neratinib.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the United States, marketing approval for neratinib was obtained on July 17, 2017, which provided five years of regulatory exclusivity. Marketing approval in the United States for neratinib in combination with capecitabine was obtained on February 25, 2020, which provided three years of regulatory exclusivity. Requests for patent term extension under the Hatch-Waxman Act have been filed for two patents in the United States: U.S. Patent No. 7,399,865 and U.S. Patent No. 9,211,291. We elected to apply patent term extension to U.S. Patent No. 7,399,865. The U.S. Patent and Trademark Office (“USPTO”) has determined that U.S. Patent No. 7,399,865 is eligible for five years of patent term extension. U.S. Patent No. 7,399,865 Patent Term Extension (“PTE”) Certificate was issued on November 19, 2021. U.S. Patent No. 7,399,865 will expire December 29, 2030. See “Government Regulation” below. If we obtain marketing approval in the United States for new uses or combination therapies for neratinib, we may be eligible for additional periods of regulatory exclusivity, such as three-year market exclusivity covering the new use. If we obtain market approval for neratinib or other drug candidates or in certain jurisdictions outside the United States, we may be eligible for regulatory protection, such as eight to eleven years of data and marketing exclusivity potentially available for new drugs in the EU; up to five years of patent extension potentially available in Europe (Supplemental Protection Certificate), and eight years of data exclusivity potentially available in Japan. In Europe, marketing approval for neratinib was obtained on August 31, 2018, which provided 10 years of regulatory exclusivity. Between 2019 and 2024, marketing approval for neratinib was obtained in Argentina, Brazil, Brunei, Canada, Chile, China, Ecuador, Hong Kong, Israel, Malaysia, </w:t>
      </w:r>
      <w:r>
        <w:rPr>
          <w:rFonts w:ascii="Times New Roman" w:hAnsi="Times New Roman"/>
          <w:caps w:val="false"/>
          <w:smallCaps w:val="false"/>
          <w:sz w:val="20"/>
          <w:shd w:fill="FFFFFF" w:val="clear"/>
        </w:rPr>
        <w:t>Mexico, Singapore, Taiwan, Brazil and Thailand. Where available a</w:t>
      </w:r>
      <w:r>
        <w:rPr>
          <w:rFonts w:ascii="Times New Roman" w:hAnsi="Times New Roman"/>
          <w:caps w:val="false"/>
          <w:smallCaps w:val="false"/>
          <w:sz w:val="20"/>
        </w:rPr>
        <w:t>nd eligible, regulatory or data exclusivity has been obtained, or is currently being pursued in these jurisdictions outside the United States and Europe. Patent term extension or supplemental protection certificate are being, or will be, pursued in jurisdictions where available and eligible, including Chile, Europe and Taiwan. We are pursuing patent term extension in the form of patent term adjustment (“PTA”), in market approved jurisdictions where PTA is available. Where PTA requests require proceedings in a court setting, there is no guarantee that such PTA requests will be granted. Current market approved jurisdictions where patent term extensions or supplemental protection certificates are not available, not eligible, or not pursued, include Argentina, Brunei, Canada, China, Ecuador, Hong Kong, Israel, Malaysia and Singapore. There can be no assurance that we will qualify for any such regulatory exclusivity, or that any such exclusivity will prevent competitors from seeking approval solely on the basis of their own studies. See “Government Regulation”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November 28, 2011, a Boehringer Ingelheim entity filed an opposition to European Patent No. EP1848414, which was licensed from Pfizer in 2011, and which included specific claims to a pharmaceutical composition for use in treating cancer in a subject with a cancer having a mutation in epidermal growth factor receptor with a T790M mutation. Oral proceedings were held before the Opposition Division of the European Patent Office in Munich, Germany on February 4, 2014. The decision of the Opposition Division was to uphold the granted claims of the European patent that relate to the T790M mutation without any modification. This included specific claims to a pharmaceutical composition comprising an irreversible epidermal growth factor receptor inhibitor for use in treating cancer in a subject having a T790M mutation and claims for the pharmaceutical composition for use in the treatment of numerous cancers, including lung cancer and non-small cell lung cancer. Both parties appealed this decision. The opposition was rejected as inadmissible by the Board of Appeal of the European Patent Office on December 1, 2020, and the EP1848414 patent was upheld as originally granted. We have filed Supplemental Protection Certificate applications in the countries where the EP1848414 patent was validated. Of these Supplemental Protection Certificate applications, seven have been granted, two are undergoing appeal proceedings, ten have been abandoned, two proceedings have been stayed, and the remaining four are in active prosecution.</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on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on November 3, 2023, by Alfred E. Tiefenbacher (GmbH &amp; Co. KG) on November 28, 2023 and by Generics (UK) Limited (“Generics”) on December 1, 2023. EP3000467 is used as the basic patent for Supplementary Protection Certificate applications for the EMA-approved NERLYNX® product, of which 18 have been granted, three proceedings have been stayed, and 10 are in active prosecution. The patentee response to the notice of opposition was filed on April 15, 2024, following which, all three opponents filed additional arguments in reply to the patentee’s submission. On February 6, 2025, we filed our response to the summons to attend oral proceedings, including six auxiliary requests. Alfred E. Tiefenbacher and Hexal AG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early-stage hormone receptor-positive HER-2-overexpressed/amplified breast cancer. The first instance decision may be appealed. Hexal filed an appeal on June 6, 2025, Generics filed an appeal on June 20, 2025 and Wyeth filed an appeal on June 30, 2025. On September 5, 2025, Wyeth filed its grounds of appeal, including nine auxiliary requests. One the same day, Hexal filed its grounds of appeal. Generics filed its grounds of appeal on September 4, 2025, and Alfred E. Tiefenbacher filed its grounds of appeal on September 1, 2025. On December 16, 2025, Alfred E. Tiefenbacher withdrew its appeal. Wyeth responded to the opponents’ grounds of appeal on January 12, 2026. 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October 6, 2017, Hexal also filed an opposition against European Patent No. EP2326329 which was licensed from Pfizer in 2011, and which claims a combination of neratinib and pharmaceutically acceptable salts thereof with capecitabine for use in a method of treating an Erb-2 positive metastatic breast cancer. An oral hearing was held on February 13, 2019, wherein the patent was maintained as granted. Hexal then appealed, the Board of Appeal of the European Patent Office rejected the claims as granted and the pending auxiliary request during the oral hearing of November 16, 2022. Before issuance of a decision, we withdrew approval of the text in which the patent was granted and the pending auxiliary request, thereby revoking the patent and concluding the appeal. A divisional application, EP16203986.1 was granted with the patent number EP3175853 on November 1, 2023. This patent was also opposed by Sandoz AG on July 2, 2024. The patentee’s response was filed on December 12, 2024. On December 19, 2024, Sandoz AG requested the opposition division to delay issuance of their preliminary opinion by two months since they intend to respond to the patentee’s submission. Oral proceedings are scheduled for April 16, 2026. The patentee filed its written submission on February 16, 2026. A divisional application, EP23206402.2, remains pending in this family. Substantive examination has commenced and a response to the European Search Opinion (ESO) was filed on May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On May 21, 2020, Dr. Richard Cooke at the firm Elkington and Fife LLP filed an opposition against European Patent No. EP2498756, which was licensed from Pfizer in 2011, and which claims, </w:t>
      </w:r>
      <w:r>
        <w:rPr>
          <w:rFonts w:ascii="Times New Roman" w:hAnsi="Times New Roman"/>
          <w:i/>
          <w:caps w:val="false"/>
          <w:smallCaps w:val="false"/>
          <w:sz w:val="20"/>
        </w:rPr>
        <w:t>inter alia</w:t>
      </w:r>
      <w:r>
        <w:rPr>
          <w:rFonts w:ascii="Times New Roman" w:hAnsi="Times New Roman"/>
          <w:caps w:val="false"/>
          <w:smallCaps w:val="false"/>
          <w:sz w:val="20"/>
        </w:rPr>
        <w:t>, tablet formulations of neratinib maleate comprising intragranular and extragranular components. An oral hearing was held on April 6, 2022, wherein the patent has been maintained in amended form. The Interlocutory Decision of the Opposition Division was issued on July 25, 2022. Hexal, has not appealed the decision within the prescribed time and the Interlocutory Decision became final. A divisional application for EP19154710.8 has been granted as EP3566697, and EP22169771.7 has received a decision to grant, taking effect on March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An opposition was filed by Generics on September 3, 2015 against European Patent No. EP2656844, which was licensed from Pfizer in 2011, and which claims, </w:t>
      </w:r>
      <w:r>
        <w:rPr>
          <w:rFonts w:ascii="Times New Roman" w:hAnsi="Times New Roman"/>
          <w:i/>
          <w:caps w:val="false"/>
          <w:smallCaps w:val="false"/>
          <w:sz w:val="20"/>
        </w:rPr>
        <w:t>inter alia</w:t>
      </w:r>
      <w:r>
        <w:rPr>
          <w:rFonts w:ascii="Times New Roman" w:hAnsi="Times New Roman"/>
          <w:caps w:val="false"/>
          <w:smallCaps w:val="false"/>
          <w:sz w:val="20"/>
        </w:rPr>
        <w:t>, a pharmaceutical pack containing 50 to 300 mg of neratinib and pharmaceutically acceptable salts thereof and vinorelbine for use in a method of treating a neoplasm. An oral hearing was held July 3, 2017, wherein the patent was maintained as granted. Generics then appealed. The appeal was dismissed by the Board of Appeal of the European Patent Office on August 11, 2020, and the EP2656844 patent was upheld as originally granted.</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Unipharm filed a pre-grant opposition to Israeli Patent Application No. IL210616 on January 31, 2016. This application was licensed from Pfizer in 2011. An oral hearing was held in Jerusalem before the Israeli Patent Office on January 22, 2018. The patent was granted by the Israeli Patent Office upon filing of amendments to the claims. No opposition to the patent has been filed within the allowed opposition period. The granted claims are directed to use of a combination of neratinib and capecitabine in the manufacture of a medicament for treating a neoplasm.</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Alisertib Patent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hold a worldwide exclusive license under our license agreement with Takeda (the “Takeda Agreement”), to 22 granted U.S. patents and five pending U.S. patent applications, as well as foreign counterparts thereof, and other patent applications and patents claiming priority thereof for a total of approximately 368 foreign patents and patent applications to develop and commercialize alisertib.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a license to issued U.S. patents that include species claims and genus claims to the composition of matter of alisertib which are set to expire in 2029 and 2027, respectively, not including any extension for Hatch-Waxman exclusivity. We also have issued U.S. patents for the use of alisertib in combination with certain other agents in the treatment of certain proliferative disorders, small-cell lung cancer and breast cancer, which are currently set to expire in 2032, 2033 and 2034, respectively, not including any extension for Hatch-Waxman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plan to pursue additional patents in and outside the United States, based on our existing alisertib patent portfolio, that covers alisertib composition, formulations, combinations and uses thereof, and additional therapeutic uses of alisertib. In addition, we will pursue patent protection for any new discoveries or inventions made in the course of our development of alisertib.</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drug candidates and any future drug candidates, proprietary information and proprietary technology through a combination of contractual arrangements and patents, both in the United States and abroad. However, even patent protection may not always provide us with complete protection against competitors who seek to circumvent our patents. See “Risk Factors—</w:t>
      </w:r>
      <w:r>
        <w:rPr>
          <w:rFonts w:ascii="Times New Roman" w:hAnsi="Times New Roman"/>
          <w:i/>
          <w:caps w:val="false"/>
          <w:smallCaps w:val="false"/>
          <w:sz w:val="20"/>
        </w:rPr>
        <w:t>Risks Related to Our Intellectual Property—Our proprietary rights may not adequately protect our intellectual property and potential products, and if we cannot obtain adequate protection of our intellectual property and potential products, we may not be able to successfully market our potential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depend upon the skills, knowledge and experience of our scientific and technical personnel, as well as that of our advisors, consultants and other contractors, none of which is patentable. To help protect our proprietary know-how, which is not patentable, and inventions for which patents may be difficult to obtain or enforce, we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Pfizer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license the worldwide exclusive rights for the development, manufacture and commercialization of neratinib (oral), neratinib (intravenous), PB357, and certain related compounds from Pfizer. Under the Pfizer Agreement, Pfizer was obligated to transfer to us certain information, records, regulatory filings, materials and inventory controlled by Pfizer and relating to or useful for developing these compounds and to continue to conduct certain ongoing clinical studies until a certain time. After that time, we were obligated to continue such studies pursuant to an approved development plan, including after the license agreement terminates for reasons unrelated to Pfizer’s breach of the license agreement, subject to certain specified exceptions. We were also obligated to commence a new clinical trial for a product containing one of these compounds within a specified period of time and use commercially reasonable efforts to complete such trial and achieve certain milestones as provided in a development plan. If certain of our out-of-pocket costs in completing such studies exceeded a mutually agreed amount, Pfizer was obligated to pay for certain additional out-of-pocket costs to complete such studies. We must use commercially reasonable efforts to develop and commercialize products containing these compounds in specified major-market countries and other countries in which we believe it is commercially reasonable to develop and commercialize such products. In July 2021, we entered into a confirmatory agreement with Pfizer and Wyeth LLC (“Wyeth”), confirming that the rights granted to us by Pfizer under the Pfizer Agreement included Wyeth's rights in neratinib (oral), neratinib (intravenous), PB357, and certain related compounds.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consideration for the license, we are required to make payments upon the achievement of certain milestones totaling approximately $187.5 million if all such milestones are achieved. In connection with the FDA approval of NERLYNX in July 2017, we triggered a one-time milestone payment pursuant to the agreement. In June 2020, we entered into a letter agreement (the “Letter Agreement”) with Pfizer relating to the method of payment associated with a one-time milestone payment under the license agreement with Pfizer. The Letter Agreement permitted us to make the milestone payment in installments with the remaining amount payable to Pfizer (including interest). The milestone payment accrued interest at 6.25% per annum. The milestone payment including accrued interest of $1.8 million was paid in full in September 2021. In addition, we reached a commercial milestone by achieving aggregate worldwide net sales of $250.0 million in calendar year 2022</w:t>
      </w:r>
      <w:r>
        <w:rPr>
          <w:rFonts w:ascii="Times New Roman" w:hAnsi="Times New Roman"/>
          <w:i/>
          <w:caps w:val="false"/>
          <w:smallCaps w:val="false"/>
          <w:sz w:val="20"/>
        </w:rPr>
        <w:t>,</w:t>
      </w:r>
      <w:r>
        <w:rPr>
          <w:rFonts w:ascii="Times New Roman" w:hAnsi="Times New Roman"/>
          <w:caps w:val="false"/>
          <w:smallCaps w:val="false"/>
          <w:sz w:val="20"/>
        </w:rPr>
        <w:t> resulting in a payment to Pfizer of $12.5 million during the three months ended March 31, 2023. We capitalized the milestones as intangible assets and are amortizing the assets to cost of sales on a straight-line basis over the estimated useful life of the licensed patent through 2030. Should we commercialize additional compounds licensed from Pfizer or any products containing any of these compounds, we will be obligated to pay Pfizer annual royalties at a fixed rate in the low-to-mid teens of net sales of all such products, subject to certain reductions and offsets in some circumstances. Our royalty obligation continues on a product-by-product and country-by-country basis, until the later of (1) the last to expire licensed patent covering the applicable licensed product in such country, or (2) the earlier of generic competition for such licensed product reaching a certain level in such country or expiration of a certain time period after first commercial sale of such licensed product in such country. In the event that we sub-license the rights granted to us under the license agreement with Pfizer to a third party, the same milestone and royalty payments are required. We can terminate the license agreement at will, or for safety concerns, in each case upon specified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Pfizer Agreement originally stipulated that should we commercialize any of the compounds licensed from Pfizer or any products containing any of these compounds, we will be obligated to pay to Pfizer incremental annual royalties between approximately 10% and 20% of net sales of all such products, subject, in some circumstances, to certain reductions.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July 2014, we signed an amendment to the Pfizer Agreement that, among other things reduced the annual royalties to be paid on net sales of licensed products from a tiered royalty rate structure ranging between 10% to 20% to a fixed rate in the low to mid-teens.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royalty obligation continues, on a product-by-product and country-by-country basis, until the later of (i) the last to expire valid claim of a licensed patent covering the applicable licensed product in such country, or (ii) the earlier of generic competition for such licensed product reaching a certain level of sales in such country or expiration of a certain time period after first commercial sale of such licensed product in such country. We can terminate the Pfizer Agreement at will at any time or for safety concerns, in each case upon specified advance notice. Each party may terminate the Pfizer Agreement if the other party fails to cure any breach of a material obligation by such other party within a specified time period. Pfizer may terminate the Pfizer Agreement in the event of our bankruptcy, receivership, insolvency or similar proceeding. The Pfizer Agreement contains other customary clauses and terms as are common in similar agreements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i/>
          <w:caps w:val="false"/>
          <w:smallCaps w:val="false"/>
          <w:sz w:val="20"/>
        </w:rPr>
      </w:pPr>
      <w:r>
        <w:rPr>
          <w:rFonts w:ascii="Times New Roman" w:hAnsi="Times New Roman"/>
          <w:i/>
          <w:caps w:val="false"/>
          <w:smallCaps w:val="false"/>
          <w:sz w:val="20"/>
        </w:rPr>
        <w:t>Takeda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In September 2022, we entered an exclusive license agreement with Takeda to license from Takeda the worldwide right to research, develop, commercialize and otherwise exploit alisertib, also referred to as MLN-8237, a selective, small-molecule, orally administered inhibitor of Aurora Kinase A. Under the terms of the Takeda Agreement, we assumed sole responsibility for the global development and commercialization of alisertib. We paid Takeda an upfront license fee of $7.0 million in October 2022 and Takeda is eligible to receive potential future milestone payments of up to $287.3 million upon our achievement of certain regulatory and commercial milestones during the term of the exclusive license agreement, as well as tiered royalty payments for any net sales of alisertib. </w:t>
      </w:r>
    </w:p>
    <w:p>
      <w:pPr>
        <w:pStyle w:val="TextBody"/>
        <w:bidi w:val="0"/>
        <w:spacing w:before="0" w:after="0"/>
        <w:ind w:left="0" w:right="0" w:hanging="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Under the Takeda Agreement, we must use commercially reasonable efforts to develop and commercialize one product containing alisertib in specified major-market countries. We may terminate the Takeda Agreement at will at any time upon specified advance notice. Each party may terminate the Takeda Agreement if the other party fails to cure any material breach of the Takeda Agreement by such other party within a specified time period. In addition, each party may terminate the Takeda Agreement following the other party’s bankruptcy, insolvency, reorganization, receivership, dissolution, liquidation or similar events. The Takeda Agreement contains other customary clauses and terms as are common in similar agreements in the industry.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summary describes our material sub-license agreements. Because the following is only a summary, it does not contain all of the information that may be important to you. For a complete description, you should refer to each of these agreements, copies of which have been filed as exhibits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Specialised Therapeutics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November 20, 2017, we entered into a sub-license agreement (the “Specialised Therapeutics Agreement”) with Specialised Therapeutics Asia Pte Ltd. (“STA”). Pursuant to the Specialised Therapeutics Agreement, we granted to STA, under certain of our intellectual property rights relating to neratinib, an exclusive, sublicensable (under certain circumstances) license to commercialize any pharmaceutical product containing neratinib in finished form for the extended adjuvant treatment of patients with early stage HER2-positive breast cancer and HER2-positive metastatic breast cancer in Australia, Brunei, Cambodia, Indonesia, Laos, Malaysia, Myanmar, New Zealand, Papua New Guinea, Philippines, Singapore, Thailand, Timor-Leste and Vietnam (the ”STA Territory”).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Specialised Therapeutics Agreement sets forth the parties’ respective obligations with respect to the development, commercialization, and supply of the licensed product. Within the STA Territory, STA will be generally responsible for regulatory and commercialization activities, and we will be solely responsible for the manufacturing and supply of the licensed product under a supply agreement entered into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Specialised Therapeutics Agreement, we received an upfront payment and will potentially receive additional regulatory milestone payments. In addition, we will receive double-digit royalties on sales of licensed products, calculated as a percentage of net sales of licensed products throughout the STA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term of the Specialised Therapeutics Agreement continues, on a country-by-country basis, until the later of (i) the expiration or abandonment of the last patent covering the licensed product or (ii) the earlier of (a) the date upon which sales of generic versions of licensed product reach a specified level in such country, or (b) the tenth anniversary of the first commercial sale of the licensed product in such country. The Specialised Therapeutics Agreement may be terminated by either party if the other party commits a material breach, subject to a customary cure period, or if the other party is insolvent. The Specialised Therapeutics Agreement will also terminate upon the termination of the supply agreement for licensed products between the parties.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Medison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During the first quarter of 2018, we entered into a sub-license agreement (the “Medison Agreement”), with Medison Pharma Ltd. (“Medison”). Pursuant to the Medison Agreement, we granted to Medison, under certain of our intellectual property rights relating to neratinib, an exclusive license to commercialize neratinib and certain related compounds and participate in the named patient supply in Israel (the “Medison Territory”), subject to the terms of the Medison Agreement and the related supply agreement. Pursuant to the Medison Agreement, we will potentially receive milestone payments due to us upon successful completion of certain separate, distinct performance obligations. In addition, we are entitled to receive double-digit royalties on sales of licensed products, calculated as a percentage of net sales of licensed products in the Medison Territory.</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Pint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March 30, 2018, we entered into a sub-license agreement (the “Pint Agreement”), with Pint Pharma International SA (“Pint”). Pursuant to the Pint Agreement, we granted to Pint, under certain of our intellectual property rights relating to neratinib, an exclusive, sublicensable (under certain circumstances) license to develop and commercialize any product containing neratinib and certain related compounds in Belize, Costa Rica, El Salvador, Guatemala, Honduras, Nicaragua, Panama, Argentina, Bolivia, Brazil, Chile, Colombia, Ecuador, Guyana, Paraguay, Peru, Suriname, Uruguay, Venezuela, French Guiana, the Falkland Islands and Mexico (the “Pint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Pint Agreement sets forth the parties’ respective obligations with respect to the development, commercialization, and supply of the licensed product. Pint will, at its expense, develop the licensed product for the purpose of obtaining regulatory approval in the Pint Territory, subject to our consent to conduct such development activities and approval of certain aspects of clinical studies conducted by Pint. Within the Pint Territory, Pint will also be responsible for regulatory and commercialization activities. We will be solely responsible for the manufacturing and supply of the licensed product under a supply agreement that will be entered into between the parties, subject to certain exceptions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Pint Agreement, we received an upfront payment and will potentially receive additional regulatory and sales-based milestone payments. In addition, we are entitled to receive double-digit royalties on sales of licensed products, calculated as a percentage of net sales of licensed products throughout the Pint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term of the Pint Agreement continues, on a country-by-country basis, until the later of (i) the expiration or abandonment of the last licensed patent covering the licensed product in such country, or (ii) the earlier of (a) the date upon which sales of generic versions of licensed product reach a specified level in such country, or (b) the tenth anniversary of the first commercial sale of the licensed product in such country. The Pint Agreement may be terminated by either party if the other party commits a material breach, subject to a customary cure period, or if the other party is insolvent. Pint may also terminate the Pint Agreement at will, for certain safety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Knight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January 9, 2019, we entered into a sub-license agreement (the “Knight Agreement”), with Knight Therapeutics, Inc. (“Knight”). Pursuant to the Knight Agreement, we granted to Knight, under certain of the our intellectual property rights relating to neratinib, an exclusive, sublicensable (under certain circumstances) license (i) to commercialize any product containing neratinib and certain related compounds in Canada (the “Knight Territory”), (ii) to seek and maintain regulatory approvals for the licensed products in the Knight Territory and (iii) to manufacture the licensed products anywhere in the world solely for the development and commercialization of the licensed products in the Knight Territory for human use, subject to the terms of the Knight Agreement and a supply agreement to be negotiated and executed by the parties.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terms of the Knight Agreement, we will be solely responsible for the manufacturing and supply of the licensed products to Knight, but under limited circumstances Knight may obtain the right to manufacture the licensed products under the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Knight Agreement sets forth the parties’ respective obligations with respect to the commercialization of the licensed products. Within the Knight Territory, we will be solely responsible for obtaining the regulatory approval for the indication of extended adjuvant treatment of HER2-positive early stage breast cancer (the “Initial Indication”), and Knight will use commercially reasonable efforts to prepare, file and manage regulatory filings for any other indications in the field of human use. Promptly after obtaining the regulatory approval for the Initial Indication in the Knight Territory, we will transfer such regulatory approval to Knight, and Knight will own and hold any regulatory approvals for the licensed products in the Knight Territory in its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Knight Agreement, we received an upfront payment and will potentially receive additional regulatory and commercial milestone payments. In addition, we are entitled to receive double-digit royalties on sales of licensed products, calculated as a percentage of net sales of licensed products in the Knight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term of the Knight Agreement continues, on a licensed product-by-licensed product basis, until the later of (i) the expiration or abandonment of the last valid claim of the licensed patents that covers such licensed product in the Territory, or (ii) the earlier of (a) the time when generic competitors to such licensed product have achieved a specified level in such country, or (b) ten (10) years following the date of first commercial sale of such licensed product in the Territory. The Knight Agreement may be terminated by either party if the other party commits a material breach, subject to a customary cure period, or if the other party is insolvent.</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Pierre Fabre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March 29, 2019, we entered into a sub-license agreement (the “Pierre Fabre Agreement”), with Pierre Fabre Medicament SAS (“Pierre Fabre”). Pursuant to the Pierre Fabre Agreement, we granted to Pierre Fabre under certain of our intellectual property rights relating to neratinib an exclusive, sub-licensable (under certain circumstances) license to develop, manufacture and commercialize any pharmaceutical product containing neratinib for therapeutic and prophylactic indications for human or veterinary use in European countries (excluding Ukraine), along with countries in North Africa and francophone countries of West Africa (the “Pierre Fabre Territory”). On November 25, 2019, we entered into a license amendment (the “First Pierre Fabre Amendment”), with Pierre Fabre to extend the Pierre Fabre Territory to the Middle East, South Africa, Sudan and Turkey (as extended, the “First Pierre Fabre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February 24, 2021, we resolved a dispute with our former partner CANbridge Biomed Limited and terminated our sub-license agreement. Simultaneous to the termination of this agreement, we entered into a third license amendment (the “Third Pierre Fabre Amendment”) with Pierre Fabre to further extend Pierre Fabre’s licensed territory to Greater China, (the “Third Pierre Fabre Territory”) which includes mainland China, Taiwan, Hong Kong and Macao (each a “China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Pierre Fabre Agreement, we received an upfront payment and will potentially receive additional regulatory and sales-based milestone payments based on regulatory and sales activities in the Licensee Territory (as such term is defined in the Third Pierre Fabre Amendment). Pursuant to the Third Pierre Fabre Amendment, we received an upfront payment of $50.0 million and will potentially receive additional regulatory and sales-based milestone payments up to $240.0 million based solely on regulatory and sales activities in the Third Pierre Fabre Territory. In addition, we will receive double-digit royalties based on net sales of the licensed products in the Licensee Territory, and double-digit royalties based on net sales of the licensed products in the Third Pierre Fabre Territory. For the purposes of calculating royalties, sales of the licensed products in the Third Pierre Fabre Territory will be excluded from the sales of licensed products made in the Licensee Territory.</w:t>
      </w:r>
    </w:p>
    <w:p>
      <w:pPr>
        <w:pStyle w:val="TextBody"/>
        <w:bidi w:val="0"/>
        <w:spacing w:before="0" w:after="0"/>
        <w:ind w:left="16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terms of the Pierre Fabre Agreement, as amended, we are obligated to supply Pierre Fabre with the licensed products in accordance with the related supply agreement. Pierre Fabre will be responsible for conducting additional clinical studies and leading regulatory activities in connection with the EMA, and Greater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term of the Pierre Fabre Agreement, as amended, continues until, on a country-by-country basis, the later of (i) the expiration or abandonment of the last licensed patent covering the licensed product in such country and (ii) the earlier of (a) the date upon which sales of generic versions of the licensed product reach a specified level in such country, or (b) the tenth anniversary of the first commercial sale of a licensed product in such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Pierre Fabre Agreement, as amended, may be terminated by either party, in its entirety, if the other party commits a material breach, subject to a cure period, or if the other party is insolvent, and Pierre Fabre may terminate the Pierre Fabre Agreement, as amended, at its convenience or if there is evidence of safety issues with the licensed product. Pierre Fabre may terminate the Pierre Fabre Agreement, as amended, on a territory-by-territory basis, by terminating only the Licensee Territory or the Third Pierre Fabre Territory, for any of the foregoing reasons. We may terminate the Pierre Fabre Agreement, as amended, on a China Region-by-China Region basis or, under certain circumstances, in the entire Third Pierre Fabre Territory if Pierre Fabre is in material violation of certain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Bixink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During the second quarter of 2020, we entered into a sub-license agreement (the “Bixink Agreement”) with Bixink Therapeutics Co., Ltd. (“Bixink”). The Bixink Agreement granted intellectual property rights and set forth the respective obligations with respect to development, commercialization and supply of NERLYNX in South Korea (the “Bixink Territory”). The Bixink Agreement includes potential milestone payments due to us upon successful completion of certain performance obligations, such as achieving regulatory approvals. In addition, we are entitled to receive double-digit royalties on sales of licensed products, calculated as a percentage of net sales of licensed products throughout the Bixink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Manufacturing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do not currently have our own manufacturing facilities. We intend to continue to use our financial resources to support commercialization of NERLYNX and development of our drug candidates, including alisertib, rather than diverting resources to establish our own manufacturing facilities. While our drug candidates were developed by Pfizer and Takeda, both the drug substance and drug product are manufactured by third-party contractors. We are currently using third-party contractors to manufacture, supply, store and distribute our neratinib products (including NERLYNX) in clinical trials and commercial quantities as well as for alisertib in clinical trials.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Should alisertib or any of our other drug candidates obtain marketing approval, we anticipate establishing relationships with third-party manufacturers and other service providers in connection with commercial production of our products. We have some flexibility in securing other manufacturers to produce our drug candidates; however, our alternatives may be limited due to proprietary technologies or methods used in the manufacture of some of our drug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Government Regulation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United States—FDA Process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research, development, testing, manufacture, labeling, promotion, advertising, distribution and marketing, among other things, of drug products are extensively regulated by governmental authorities in the United States and other countries. In the United States, the FDA regulates drugs under the Federal Food, Drug, and Cosmetic Act (“FDCA”) and its implementing regulations. Failure to comply with the applicable U.S. requirements may subject us to administrative or judicial sanctions, such as FDA refusal to approve pending NDAs, warning letters, fines, civil penalties, product recalls, product seizures, total or partial suspension of production or distribution, injunctions and/or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Drug Approval Process</w:t>
      </w:r>
      <w:r>
        <w:rPr>
          <w:rFonts w:ascii="Times New Roman" w:hAnsi="Times New Roman"/>
          <w:caps w:val="false"/>
          <w:smallCaps w:val="false"/>
          <w:sz w:val="20"/>
        </w:rPr>
        <w:t>. None of our drug candidates may be marketed in the United States until the drug has received FDA approval. The steps required before a drug may be marketed in the United States generally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completion of extensive pre-clinical laboratory tests, animal studies, and formulation studies, certain of which must be conducted in accordance with the FDA’s GLP requirements and other applicable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the FDA of an IND for human clinical testing, which must become effective before human clinical trials may begin;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approval by an independent institutional review board (“IRB”) or ethics committee at each clinical site before each trial may be initiated;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of adequate and well-controlled human clinical trials in accordance with GCP requirements to establish the safety and efficacy of the drug for each proposed indication;</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10"/>
        <w:gridCol w:w="6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to the FDA of an NDA after completion of all pivotal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10"/>
        <w:gridCol w:w="6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satisfactory completion of an FDA advisory committee review,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satisfactory completion of an FDA pre-approval inspection of the manufacturing facility or facilities at which the active pharmaceutical ingredient (“API”) and finished drug product are produced and tested to assess compliance with current Good Manufacturing Practices (“cGMPs”) and potential inspection of clinical trial sites to assess compliance with GCP; and</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10"/>
        <w:gridCol w:w="90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review and approval of the NDA prior to any commercial marketing or sale of the drug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Pre-clinical tests include laboratory evaluation of product chemistry, toxicity and formulation, as well as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which must become effective before human clinical trials may begin. An IND will automatically become effective 30 days after receipt by the FDA, unless before that time the FDA raises concerns or questions about the conduct of the trial, such as whether human research subjects will be exposed to an unreasonable health risk. In such a case, the IND sponsor and the FDA must resolve any outstanding FDA concerns or questions before clinical trials can proceed. Therefore, submission of an IND may not necessarily result in the FDA allowing clinical trials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Clinical trials involve administration of the investigational drug to human subjects under the supervision of qualified investigators. Clinical trials are conducted under protocols detailing the objectives of the study, the parameters to be used in monitoring safety and the effectiveness criteria to be evaluated. Each protocol must be provided to the FDA as part of a separate submission to the IND. Further, an IRB for each medical center proposing to conduct the clinical trial must review and approve the study protocol and informed consent information for study subjects for any clinical trial before it commences at that center, and the IRB must monitor the study until it is completed. There are also requirements governing reporting of ongoing clinical trials and clinical trial results to public registries. Study subjects must sign an informed consent form before participating in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Clinical trials necessary for product approval typically are conducted in three sequential phases, but the phases may overlap. Phase I usually involves the initial introduction of the investigational drug into a limited population, typically healthy humans, to evaluate its short-term safety, dosage tolerance, metabolism, pharmacokinetics and pharmacologic actions, and, if possible, to gain an early indication of its effectiveness. Phase II usually involves trials in a limited patient population to (i) evaluate dosage tolerance and appropriate dosage; (ii) identify possible adverse effects and safety risks; and (iii) evaluate preliminarily the efficacy of the drug for specific targeted indications. Multiple Phase II clinical trials may be conducted by the sponsor to obtain information prior to beginning larger and more expensive Phase III clinical trials. Phase III trials are undertaken in an expanded patient population at multiple, geographically dispersed clinical trial centers to further evaluate clinical efficacy and test further for safety by using the drug in its final form in order to establish the risk/benefit profile of the drug and provide an adequate basis for product labeling. Post-approval trials, sometimes referred to as Phase IV studies, may be conducted after initial marketing approval. These trials are used to gain additional experience from the treatment of patients in the intended therapeutic indication. In certain instances, the FDA may mandate the performance of Phase IV clinical trials as a condition of approval of an NDA.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Furthermore, the sponsor, the FDA or an IRB may suspend clinical trials at any time on various grounds, including a finding that the subjects or patients are being exposed to an unacceptable health risk. Similarly, an IRB can suspend or terminate approval of a clinical trial at its institution, such as in the circumstances where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During the development of a new drug, sponsors are given an opportunity to meet with the FDA at certain points. These points may be prior to submission of an IND, at the end of Phase II clinical testing, and before an NDA is submitted. Meetings at other times may be requested. These meetings can provide an opportunity for the sponsor to share information about the data gathered to date, for the FDA to provide advice, and for the sponsor and the FDA to reach consensus on the next phase of development. Sponsors typically use the end of a Phase II meeting to discuss their Phase II clinical results and present their plans for the pivotal Phase III clinical trial that they believe will support submission of an NDA.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sponsor may request an SPA to reach an agreement with the FDA that the protocol design, clinical endpoints, and statistical analyses are acceptable to support regulatory approval of the drug candidate with respect to effectiveness in the indication studied. If such an agreement is reached, it will be documented and made part of the administrative record, and it will be binding on the FDA except in limited circumstances, such as if the FDA identifies a substantial scientific issue essential to determining the safety or effectiveness of the product after clinical studies begin, if the relevant data, assumptions, or information provided by the sponsor in a request for SPA change are found to be false statements or misstatements or omit relevant facts, or if the sponsor fails to follow the protocol that was agreed upon with the FDA. A documented SPA may be modified, and such modification will be deemed binding on the FDA review division, except under the circumstances described above, if FDA and the sponsor agree in writing to modify the protocol and such modification is intended to improve the study. There is no guarantee that a study will ultimately be adequate to support an approval, even if the study is subject to an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Concurrent with clinical trials, companies usually complete additional animal safety studies and must also develop additional information about the chemistry and physical characteristics of the drug and finalize a process for manufacturing the product in accordance with cGMP requirements. The manufacturing process must be capable of consistently producing quality batches of the drug candidate and the manufacturer must develop methods for testing the quality, purity and potency of the final drugs. Additionally, appropriate packaging must be selected and tested, and stability studies must be conducted to demonstrate that the drug candidate does not undergo unacceptable deterioration over its shelf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Assuming successful completion of the required clinical testing, the results of pre-clinical studies and of clinical trials, together with other detailed information, including information on the manufacture and composition of the drug, are submitted to the FDA in the form of an NDA requesting approval to market the product for one or more indications. An NDA must be accompanied by a significant user fee, which may be waived in circumstances, such as where the drug is approved for an orphan-designated indication, or for the first NDA submitted by a qualifying small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a filing review before the FDA accepts it for filing and substantive review.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10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 also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Before approving an NDA, the FDA inspects the facility or the facilities at which the drug and/or its API is manufactured and will not approve the product unless the manufacturing is in compliance with cGMPs and adequate to assure consistent production of the product within required specifications. Additionally, before approving an NDA, the FDA will typically inspect one or more clinical sites to assure compliance with GCPs.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After the FDA evaluates an NDA, it will issue an approval letter or a Complete Response Letter. An approval letter authorizes commercial marketing of the drug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and/or additional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regulatory approval of a product is granted, such approval will be granted for particular indications and may entail limitations on the indicated uses for which such product may be marketed. For example, the FDA could approve the NDA with a Risk Evaluation and Mitigation Strategy to mitigate risks of the drug, which could include medication guides, physician communication plans, or elements to assure safe use, such as restricted distribution methods, patient registries or other risk minimization tools. Once the FDA approves a drug, the FDA may withdraw product approval if ongoing regulatory requirements are not met or if safety problems occur after the product reaches the market. In addition, the FDA may require testing, including Phase IV clinical trials, and surveillance programs to monitor the safety effects of approved products that have been commercialized. The FDA has the power to prevent or limit further marketing of a product based on the results of these post-marketing programs or other information.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 xml:space="preserve">Orphan Drug Designation. </w:t>
      </w:r>
      <w:r>
        <w:rPr>
          <w:rFonts w:ascii="Times New Roman" w:hAnsi="Times New Roman"/>
          <w:caps w:val="false"/>
          <w:smallCaps w:val="false"/>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approved indication or use within such disease or condition for seven years, except in limited circumstances, such as a showing of clinical superiority to the product with orphan exclusivity within the relevant indication or inability to manufacture the product in sufficient quantities to meet the needs relating to the approved use or indication of patients with the relevant rare disease or condition. The designation of such drug also entitles a party to financial incentives such as opportunities for grant funding towards clinical trial costs, tax advantages and user-fee waivers. However, competitors, may receive approval of different products for the indication for which the orphan product has exclusivity or obtain approval for the same product but for a different indication for which the orphan product has exclusivity. Orphan exclusivity also could block the approval of a competing product for seven years if a competitor obtains approval of the “same drug,” as defined by the FDA with respect to the relevant indication or use, or if a drug candidate is determined to be contained within a competitor’s product approved for the same indication or use. In addition, if an orphan designated product receives marketing approval for an disease or condition broader than what is designated, it may not be entitled to orphan exclusivity.</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Expedited Review and Approval Programs</w:t>
      </w:r>
      <w:r>
        <w:rPr>
          <w:rFonts w:ascii="Times New Roman" w:hAnsi="Times New Roman"/>
          <w:caps w:val="false"/>
          <w:smallCaps w:val="false"/>
          <w:sz w:val="20"/>
        </w:rPr>
        <w:t>. The FDA has various programs, including fast track designation, breakthrough therapy designation, priority review, and accelerated approval, which are intended to expedite or simplify the process for reviewing certain drugs and in the case of accelerated approval, provide for approval on the basis of surrogate or intermediate endpoints. Even if a drug qualifies for one or more of these programs, the FDA may later decide that the drug no longer meets the conditions for qualification or that the time period for FDA review or approval will not be shortened. Generally, drugs that may be eligible for these programs are those for serious or life-threatening diseases or conditions, those with the potential to address unmet medical needs, and those that offer meaningful benefits over existing treatments. Fast track designation, breakthrough therapy designation, priority review and accelerated approval do not change the standards for approval but may expedite the development or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example, fast track designation is designed to facilitate the development and expedite the review of drugs designed to treat serious or life-threatening diseases or conditions and which demonstrate the potential to address an unmet medical need for such diseases or conditions. Fast track designation applies to the combination of the drug candidate and the specific indication for which it is being studied. The sponsor of a fast track drug candidate has opportunities for more frequent interactions with the FDA review team during development. With regard to a fast track-designated drug candidate, the FDA may also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I and an organizational commitment to expedite the development and review of the drug candidate, including involvement of senior managers.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Any drug candidate submitted to the FDA for approval, including a product with a fast track designation or breakthrough therapy designation, may also be eligible for other types of FDA programs intended to expedite development and review, such as priority review. An NDA is eligible for priority review if the drug candidate is designed to treat a serious condition, and if approved, would provide a significant improvement in safety or effectiveness compared to available products. The FDA will attempt to direct additional resources to the evaluation of an application for a drug designated for priority review in an effort to facilitate the review. The FDA endeavors to review applications with priority review designations within six months of the filing date as compared to 10 months for review of new molecular entity NDAs under its current PDUFA review goals.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Depending on the design of the applicable clinical studies, drug candidates intended for serious or life threatening conditions may also be eligible for accelerated approval upon a determination that the drug candidate has an effect on a surrogate endpoint, which is a laboratory measurement or physical sign used as an indirect or substitute measurement representing a clinically meaningful outcome, or an effect on a clinical endpoint that can be measured earlier than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to verify or characterize the anticipated effect on irreversible morbidity or mortality or other clinical benefit and may require that such confirmatory trials be well underway prior to granting any accelerated approval. Products receiving accelerated approval may be subject to expedited withdrawal procedures if the sponsor fails to conduct the required clinical trials in a timely manner, or if such trials fail to verify the predicted clinical benefit. In addition, the FDA currently requires pre-approval of promotional materials as a condition for accelerated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Post-Approval Requirements</w:t>
      </w:r>
      <w:r>
        <w:rPr>
          <w:rFonts w:ascii="Times New Roman" w:hAnsi="Times New Roman"/>
          <w:caps w:val="false"/>
          <w:smallCaps w:val="false"/>
          <w:sz w:val="20"/>
        </w:rPr>
        <w:t>. After a drug has been approved by the FDA for sale, the FDA may require that certain post-approval requirements be satisfied, including the conduct of additional clinical studies. In addition, certain changes to an approved product, such as adding new indications, making certain manufacturing changes, or making certain additional labeling claims, are subject to further FDA review and approval. Before a company can market products for additional indications, it must obtain additional approvals from the FDA. Obtaining approval for a new indication generally requires that additional clinical studies be conducted. A company cannot be sure that any additional approval for new indications for any drug candidate will be approved on a timely basis, or at all.</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post-approval conditions are not satisfied, the FDA may withdraw its approval of the drug. In addition, holders of an approved NDA are required to (i) report certain adverse reactions to the FDA and maintain pharmacovigilance programs to proactively look for these adverse events; (ii) comply with certain requirements concerning advertising and promotional labeling for their products; and (iii) continue to have quality control and manufacturing procedures conform to cGMPs after approval. The FDA periodically inspects the sponsor’s records related to safety reporting and/or manufacturing facilities; this latter effort includes assessment of ongoing compliance with cGMPs. Accordingly, manufacturers and their subcontractors must continue to expend time, money and effort in the area of production and quality control to maintain cGMP compliance. In addition, discovery of problems with a product after approval may result in restrictions on a product, manufacturer or holder of an approved NDA, including,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the marketing or manufacturing of the product, complete withdrawal of the product from the market or product recalls;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10"/>
        <w:gridCol w:w="5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fines, warning letters or holds on post-approval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refusal of the FDA to approve pending applications or supplements to approved applications, or suspension or revocation of existing product approvals;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10"/>
        <w:gridCol w:w="68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seizure or detention, or refusal to permit the import or export of products; or</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 closely regulates the marketing, labeling, advertising and promotion of drugs.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Marketing Exclusivity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Data and market exclusivity provisions under the FDCA also can delay the submission or the approval of certain applications.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of the FDCA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holder of the NDA for the reference drug.</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r>
        <w:rPr>
          <w:rFonts w:ascii="Times New Roman" w:hAnsi="Times New Roman"/>
          <w:caps w:val="false"/>
          <w:smallCaps w:val="false"/>
          <w:sz w:val="20"/>
        </w:rPr>
        <w:t>The FDCA also provides three years of non-patent exclusivity for an NDA, 505(b)(2) NDA or supplement to an existing NDA if new clinical investigations, other than bioavailability studies,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or 505(b)(2) NDAs for drugs containing the original active agent or from accepting and reviewing an application referencing the approved drug’s application. Five-year and three-year exclusivity will not delay the submission or approval of a full NDA; however, an applicant submitting a full NDA would be required to conduct or obtain a right of reference to all of the pre-clinical studies and clinical trials necessary to demonstrate safety and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Foreign Regulation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to regulations in the United States, we are subject to a variety of foreign regulations governing, among other things, clinical trials, marketing authorizati</w:t>
      </w:r>
      <w:r>
        <w:rPr>
          <w:rFonts w:ascii="Times New Roman" w:hAnsi="Times New Roman"/>
          <w:caps w:val="false"/>
          <w:smallCaps w:val="false"/>
          <w:sz w:val="20"/>
          <w:shd w:fill="FFFFFF" w:val="clear"/>
        </w:rPr>
        <w:t>on (</w:t>
      </w:r>
      <w:r>
        <w:rPr>
          <w:rFonts w:ascii="Times New Roman" w:hAnsi="Times New Roman"/>
          <w:caps w:val="false"/>
          <w:smallCaps w:val="false"/>
          <w:sz w:val="20"/>
        </w:rPr>
        <w:t>“</w:t>
      </w:r>
      <w:r>
        <w:rPr>
          <w:rFonts w:ascii="Times New Roman" w:hAnsi="Times New Roman"/>
          <w:caps w:val="false"/>
          <w:smallCaps w:val="false"/>
          <w:sz w:val="20"/>
          <w:shd w:fill="FFFFFF" w:val="clear"/>
        </w:rPr>
        <w:t>MA</w:t>
      </w:r>
      <w:r>
        <w:rPr>
          <w:rFonts w:ascii="Times New Roman" w:hAnsi="Times New Roman"/>
          <w:caps w:val="false"/>
          <w:smallCaps w:val="false"/>
          <w:sz w:val="20"/>
        </w:rPr>
        <w:t>”</w:t>
      </w:r>
      <w:r>
        <w:rPr>
          <w:rFonts w:ascii="Times New Roman" w:hAnsi="Times New Roman"/>
          <w:caps w:val="false"/>
          <w:smallCaps w:val="false"/>
          <w:sz w:val="20"/>
          <w:shd w:fill="FFFFFF" w:val="clear"/>
        </w:rPr>
        <w:t>), co</w:t>
      </w:r>
      <w:r>
        <w:rPr>
          <w:rFonts w:ascii="Times New Roman" w:hAnsi="Times New Roman"/>
          <w:caps w:val="false"/>
          <w:smallCaps w:val="false"/>
          <w:sz w:val="20"/>
        </w:rPr>
        <w:t>mmercial sales and distribution of our products. The foreign regulatory approval process includes all of the risks associated with FDA approval set forth above, as well as additional country-specific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Whether or not we obtain FDA approval for a product, we must obtain approval by the comparable regulatory authorities of foreign countries before we can commence clinical trials and approval of regulatory authorities of foreign countries before we may market products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and reimbursement also vary greatly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Non-Clinical Studies and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in the United States, the various phases of non-clinical and clinical research in the EU are subject to significant regulatory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Non-clinical studies are performed to demonstrate the health or environmental safety of new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EU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While the EU Clinical Trials Directive required a separate clinical trial application (“CTA”) to be submitted in each EU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CTR transition period ended on January 31, 2025, and all clinical trials (and related applications) are now fully subject to the provisions of the CTR.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Medicines used in clinical trials must be manufactured in accordance with GMP. Other national and EU-wide regulatory requirements may also apply.</w:t>
      </w:r>
    </w:p>
    <w:p>
      <w:pPr>
        <w:pStyle w:val="TextBody"/>
        <w:bidi w:val="0"/>
        <w:spacing w:before="0" w:after="0"/>
        <w:ind w:left="0" w:right="0" w:hanging="0"/>
        <w:jc w:val="left"/>
        <w:rPr/>
      </w:pPr>
      <w:r>
        <w:rPr/>
        <w:t> </w:t>
      </w:r>
    </w:p>
    <w:p>
      <w:pPr>
        <w:pStyle w:val="TextBody"/>
        <w:bidi w:val="0"/>
        <w:spacing w:before="0" w:after="0"/>
        <w:ind w:left="0" w:right="0" w:firstLine="20"/>
        <w:jc w:val="left"/>
        <w:rPr>
          <w:rFonts w:ascii="Times New Roman" w:hAnsi="Times New Roman"/>
          <w:i/>
          <w:caps w:val="false"/>
          <w:smallCaps w:val="false"/>
          <w:sz w:val="20"/>
        </w:rPr>
      </w:pPr>
      <w:r>
        <w:rPr>
          <w:rFonts w:ascii="Times New Roman" w:hAnsi="Times New Roman"/>
          <w:i/>
          <w:caps w:val="false"/>
          <w:smallCaps w:val="false"/>
          <w:sz w:val="20"/>
        </w:rPr>
        <w:t>Marketing Authorization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order to market our drug candidates in the EU and many other foreign jurisdictions, we must obtain separate regulatory approvals. More concretely, in the EU, medicinal drug candidates can only be placed on the market after obtaining an MA. To obtain regulatory approval of a product candidate under EU regulatory systems, we must submit an MAA. The process for doing this depends, among other things, on the nature of the medicinal product. There are two types of MAs: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Centralized MAs” – are issued by the European Commission (“EC”) through the centralized procedure, based on the opinion of the Committee for Medicinal Products for Human Use (“CHMP”) of the EMA, and are valid throughout the EU. The centralized procedure is mandatory for certain types of products, such as (i) medicinal products, derived from biotechnology processes, such as genetic engineering, (ii) designated orphan medicinal products, (iii) advanced therapy medicinal products (“ATMPs”) such as gene therapy, somatic cell therapy or tissue-engineered medicines, and (iv) medicinal products containing a new active substance indicated for the treatment of HIV/AIDS, cancer, neurodegenerative diseases, diabetes, auto-immune and other immune dysfunctions and viral diseases. The centralized procedure is optional for products containing a new active substance not yet authorized in the EU or for drug candidates that constitute a significant therapeutic, scientific or technical innovation, or for which the granting of an MA would be in the interest of public health in the EU.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National MAs” – are issued by the competent authorities of the EU member states, and only cover their respective territory and are available for drug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competent authority of the reference member state prepares a draft assessment report, a draft summary of the product characteristics (“SmPC”), and a draft of the labeling and package leaflet, which are sent to the other member states (referred to as the member states concerned) for their approval. If the member states concerned raise no objections, based on a potential serious risk to public health, to the assessment, SmPC, labeling or packaging proposed by the reference member state, the product is subsequently granted a national MA in all the member states, i.e., in the reference member state and the member states concerned.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above described procedures, before granting the MA, the EMA or the competent authorities of the EU member states assess the risk-benefit balance of the product on the basis of scientific criteria concerning its quality, safety and efficacy. MAs have an initial duration of five years. After these five years, the authorization may be renewed for an unlimited period on the basis of a reevaluation of the risk-benefit balance.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centralized procedure, the maximum timeframe for the evaluation of an MAA by the EMA is 210 days. In exceptional cases, the CHMP might perform an accelerated review of an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The benefits of a PRIME designation include the appointment of a CHMP rapporteur before submission of an MAA, early dialogue and scientific advice at key development milestones, and the potential to qualify products for accelerated review earlier in the application process.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Data and Marketing Exclusivity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in the United States, it may be possible in foreign countries to obtain a period of market and/or data exclusivity that would have the effect of postponing the entry into the marketplace of a competitor’s generic or biosimilar product.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example, in the EU, new products authorized for marketing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Japan, our products may be eligible for eight years of data exclusivity. There can be no assurance that we will qualify for such regulatory exclusivity, or that such exclusivity will prevent competitors from seeking approval solely on the basis of their own studies.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Orphan Medicinal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criteria for designating an “orphan medicinal product” in the EU are similar in principle to those in the United States. A medicinal product can be designated as an orphan if its sponsor can establish that: (i) the product is intended for the diagnosis, prevention or treatment of a life threatening or chronically debilitating condition (ii) either (a) such condition affects not more than five in 10,000 persons in the EU when the application is made, or (b) the product, without the benefits derived from the orphan status, would not generate sufficient return in the EU to justify the necessary investment; and (iii) there exists no satisfactory method of diagnosis, prevention or treatment of the condition in question that has been authorized for marketing in the EU or, if such method exists, the product will be of significant benefit to those affected by that condition.</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Orphan designation must be requested before submitting an MAA. An EU orphan designation entitles a party to incentives such as reduction of fees or fee waivers, protocol assistance, and access to the centralized procedure. Upon grant of an MA, orphan medicinal products are entitled to 10 years of market exclusivity for the approved indication, which means that the competent authorities cannot accept another MAA, or grant an MA, or accept an application to extend an MA for a similar medicinal product for the same indication for a period of 10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Post-Approval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Failure to comply with the aforementioned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0" w:after="0"/>
        <w:ind w:left="16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aforementioned EU rules are generally applicable in the European Economic Area (“EEA”) which consists of the 27 EU member states plus Norway, Liechtenstein and Iceland.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For other countries outside of the EU and the United States, the requirements governing product development, the conduct of clinical trials, manufacturing, distribution, marketing approval, advertising and promotion,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 </w:t>
      </w:r>
      <w:r>
        <w:rPr>
          <w:rFonts w:ascii="Times New Roman" w:hAnsi="Times New Roman"/>
          <w:caps w:val="false"/>
          <w:smallCaps w:val="false"/>
          <w:sz w:val="20"/>
        </w:rPr>
        <w:t>Further, to the extent that any of our drug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Brexit and the Regulatory Framework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CTR is not applicable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Since January 1, 2021, the Medicines and Healthcare products Regulatory Agency (“MHRA”) is the UK’s standalone medicines and medical devices regulator. As a result of the Ireland/Northern Ireland protocol, different rules applied in Northern Ireland than in England, Wales, and Scotland, together, Great Britain (“GB”),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UK regulatory framework in relation to clinical trials is governed by the Medicines for Human Use (Clinical Trials) Regulations 2004, as amended, which is derived from existing EU legislation (as implemented into UK law, through secondary legislation). In April 2025, the UK adopted the Medicines for Human Use (Clinical Trials) Amendment Regulations. The amendment, which will take full effect from April 2026, aims to provide a more flexible regime to make it easier to conduct clinical trials in the UK, increase the transparency of clinical trials conducted in the UK and make clinical trials more patient centered.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opted-out. Under the terms of the Windsor Framework, these MAs became valid for the whole of the UK from January 1, 2025. In order to use the centralized procedure to obtain an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Applications are governed by the Human Medicines Regulations (SI 2012/1916) and are made electronically through the MHRA Submissions Portal. The MHRA has introduced changes to national licensing procedures, including procedures to prioritize access to new medicines that will benefit patients, a 150-day assessment (subject to clock-stops) and a rolling review procedure. In addition, since January 1, 2024, the MHRA may rely on the International Recognition Procedure (“IRP”), when reviewing certain types of MAAs. Pursuant to the IRP, the MHRA will take into account the expertise and decision-making of trusted regulatory partners (e.g., the regulatory authorities in Australia, Canada, Switzerland, Singapore, Japan, the United States.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an MA in the UK. Applications should be decided within a maximum of 60 days if there are no major objections identified that cannot be resolved within such 60-day period and the approval from the trusted regulatory partner selected has been granted within the previous two years or if there are such major objections identified or such approval hasn’t been granted within the previous two years within 110 days. Applicants can submit initial MAAs to the IRP but the procedure can also be used throughout the lifecycle of a product for post-authorization procedures including line extensions, variations and renewals. 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drug on the market in the UK within three years shall cease to be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Coverage and Reimbursement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and internationally, sales of NERLYNX and any other products that we market in the future, and our ability to generate revenues on such sales, are dependent, in significant part, on the availability of adequate coverage and reimbursement from third-party payors, such as state and federal governments, managed care providers and private insurance plans. Private insurers, such as health maintenance organizations and managed care providers, have implemented cost-cutting and reimbursement initiatives and likely will continue to do so in the future. These include establishing formularies that govern the drugs and biologics that will be offered and the out-of-pocket obligations of member patients for such products. We may need to conduct pharmacoeconomic studies to demonstrate the cost-effectiveness of our products for formulary coverage and reimbursement. Even with such studies, our products may be considered less safe, less effective or less cost-effective than existing or future products, and third-party payors may not provide limits or deny coverage and reimbursement for our drug candidates, in whole or in part.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many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w:t>
        <w:noBreakHyphen/>
        <w:t>priced markets exert a commercial pressure on pricing within a country. Historically, products launched in the EU do not follow price structures of the United States and generally prices tend to be significantly lower.</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particularly in the United States and increasingly in other countries, we are required to provide discounts and pay rebates under federal programs we participate in. For example, we pay rebates under the Medicaid Drug Rebate Program (“MDRP”) and offer discounts under the 340B drug pricing program in order for reimbursement to be available for our products. It is possible that future legislation in the United States and other jurisdictions could be enacted to potentially impact reimbursement rates for the products we are developing and may develop in the future. This legislation could increase the levels of discounts and rebates paid to federal and state government entities and significantly impact our ability to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 For example, the Affordable Care Act (the “ACA”) was enacted in 2010 and substantially changed the way healthcare is financed by both governmental and private insurers. Among other provisions, the ACA included an annual, nondeductible fee on any entity that manufactures or imports certain branded prescription drugs and biologic agents and a new formula that increases the rebates a manufacturer must pay under the MDRP.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other legislative changes have been proposed and adopted in the United States since the ACA was enacted. For example, the Budget Control Act of 2011, among other things, led to reductions of Medicare payments to providers, which will remain in effect through 2032,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on March 11, 2021, the American Rescue Plan Act of 2021 was signed into law, which eliminated the statutory Medicaid drug rebate cap, beginning January 1, 2024. The rebate was previously capped at 100% of a drug’s average manufacturer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Most significantly, the Inflation Reduction Act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(which began in 2025). U.S. Centers for Medicare &amp; Medicaid Services (“CMS”) has published the negotiated prices for the initial 10 drugs, which went into effect in January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was $2,000 beginning in 2025). The IRA allows the 10 and 20 percent discounts to be phased in over time for certain drugs for “specified manufacturers.” In April 2024, CMS informed us that we are deemed a specified small manufacturer and the discount will be phased in over several years and will increase over time. We are continuing to evaluate the potential impact of this status on our future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is reimbursed under Medicare Part D, and we have incurred IRA inflation rebates. We may incur additional Part D inflation rebates in subsequent periods. Such rebate liability could be significant. The reimbursement amount for NERLYNX under Medicare Part D will be impacted by the 10 and 20 percent discounts under the IRA’s new discounting program (as noted above). We anticipate that these increased discounts will impact NERLYNX revenues over time, while also having an industry-wide impact on the patient out of pocket costs of Part D drugs. The impact on NERLYNX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IRA manufacturer discount program also increases financial obligations of Part D prescription drug plans with respect to beneficiaries in the catastrophic coverage phase. This may incentivize Part D prescription drug plans to seek greater price concessions from us in order to include NERLYNX on their formularies.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NERLYNX and any other product candidate that we commercialize.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our products.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United States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cost of prescription pharmaceuticals in the United States continues to be the subject of considerable discussion.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individual states have also become increasingly active in passing legislation and implementing regulations designed to control pharmaceutical product pricing. These actions include but are not limited to price or patient reimbursement constraints, discounts, restrictions on certain product access and marketing cost disclosure and transparency measures. In some cases, these actions have been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in December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future, there may continue to be additional proposals relating to the reform of the U.S. and international healthcare systems. Future legislation, or regulatory actions implementing recent or future legislation may have a significant effect on our business. Our ability to successfully commercialize products depends in part on the extent to which reimbursement for the costs of our products and related treatments will be available in the United States and worldwide from government health administration authorities, private health insurers and other organizations. The adoption of certain proposals could limit the prices we are able to charge for our products, the amounts of reimbursement available for our products, and limit the acceptance and availability of our products. Therefore, substantial uncertainty exists as to the reimbursement status of newly approved health care products by third-party payors.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Government Price Reporting</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Medicaid is a joint federal and state program for low-income and disabled beneficiaries. Medicare is a federal program covering individuals aged 65 and over as well as those with certain disabilities. As a condition of having federal funds being made available for covered outpatient drugs under Medicaid and Medicare Part B, we have enrolled in the MDRP, which requires us to pay a rebate to state Medicaid programs for each unit of our covered outpatient drugs dispensed to a Medicaid beneficiary and paid for by a state Medicaid program. Medicaid rebates are based on pricing data that we must report on a monthly and quarterly basis to the CMS, the federal agency that administers the MDRP and Medicare programs. For the MDRP, these data include the average manufacturer price (“AMP”) for each drug and, in the case of our innovator products, the best price (“BP”). If we become aware that our MDRP price reporting submission for a prior period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Federal law requires that a manufacturer that participates in the MDRP also participate in the Public Health Service’s 340B drug pricing program (the “340B program”) in order for federal funds to be available for the manufacturer’s drugs under Medicaid and Medicare Part B. We participate in the 340B program, which is administered by the Health Resources and Services Administration (“HRSA”) that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reporting requirements, including the untimely, inaccurate, or incomplete reporting of drug pricing information. Some states have enacted legislation creating so-called prescription drug affordability boards, which ultimately may attempt to impose price limits on certain drugs in these states.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Sales and Marketing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 regulates all advertising and promotion activities for products under its jurisdiction prior to and after approval, including standards and regulations for direct-to-consumer advertising, dissemination of off-label information, industry-sponsored scientific and educational activities and promotional activities involving the Internet. Drugs may be marketed only for the approved indications and in accordance with the provisions of the approved label. Further, if there are any modifications to the drug, including changes in indications, labeling, or manufacturing processes or facilities, we may be required to submit and obtain FDA approval of a new or supplemental NDA, which may require us to collect additional data or conduct additional pre-clinical studies and clinical trials. Failure to comply with applicable FDA requirements may subject a company to adverse publicity, enforcement action by the FDA, corrective advertising, consent decrees and the full range of civil and criminal penalties available to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Physicians may prescribe legally available drugs for uses that are not described in the drug’s labeling and that differ from those tested by us and approved by the FDA. Such off-label uses are common across medical specialties, and often reflect a physician’s belief that the off-label use is the best treatment for the patient. The FDA does not regulate the behavior of physicians in their choice to prescribe treatments, but FDA regulations do impose stringent restrictions on manufacturers’ communications regarding off-label uses. Failure to comply with applicable FDA requirements may subject a company to adverse publicity, enforcement action by the FDA and other regulatory agencies, corrective advertising, consent decrees and the full range of civil and criminal penalties available to the FDA. In addition to the FDA, a company can be subject to legal claims from other governmental agencies and private parties relating to marketing practices such as the Federal Trade Commission (“FTC”), competitors, patients, and other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Outside the United States, our ability to market a product is contingent upon obtaining marketing authorization from the appropriate regulatory authorities and similar requirements to the ones described above may apply in foreign jurisdictions. The requirements governing, among other things, marketing authorization and pricing and reimbursement vary widely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Other Healthcare Laws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also subject to various federal, state and foreign laws pertaining to health care “fraud and abuse,” including anti-kickback laws, false claims laws and transparency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federal Anti-Kickback Statute (“AKS”)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Federal civil and criminal false claims laws, such as the federal False Claims Act (“FCA”) prohibit individuals or entities from, among other things, knowingly presenting, or causing to be presented false, fictitious or fraudulent claims for payment or approval by the federal government, including federal health care programs, such as Medicare and Medicaid, and knowingly making, using or causing to be made or used a false record or statement material to a false or fraudulent claim, or knowingly making a false statement to improperly avoid, decrease or conceal an obligation to pay money to the federal government. Private individuals can bring “qui tam” actions under the FCA, on behalf of the government and such individuals, commonly known as “whistleblowers,” may share in amounts paid by the entity to the government in fines or settlement. Moreover, a claim including items or services resulting from a violation of the AKS constitutes a false or fraudulent claim for purposes of the FCA.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federal Civil Monetary Penalties law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(“HIPAA”) created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federal transparency requirements under the Physician Payments Sunshine Act, created under the ACA, requires, among other things, certain manufacturers of drugs, devices, biologics and medical supplies reimbursed under Medicare, Medicaid, or the Children’s Health Insurance Program to annually report to CMS information related to payments and other transfers of value provided to physicians (defined to include doctors, dentists, optometrists, podiatrists and chiropractors), certain non-physician practitioners (nurse practitioners, certified nurse anesthetists, physician assistants, clinical nurse specialists, anesthesiology assistants and certified nurse midwives), and teaching hospitals and physician ownership and investment interests, including such ownership and investment interests held by a physician’s immediate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Violations of these laws may be punishable by criminal and/or civil sanctions, including fines and civil monetary penalties, the possibility of exclusion from federal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There are also state and foreign law and regulations equivalents of each of the above federal laws, such as state anti-kickback and false claims laws, that may impose similar or more prohibitive restrictions, and may apply to items or services reimbursed by any non-governmental third-party payors, including private insurers.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Data Privacy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Other Laws and Regulatory Processes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subject to a variety of financial disclosure and securities trading regulations as a public company in the United States with securities traded on the NASDAQ Global Select Market, including laws relating to the oversight activities of the Securities and Exchange Commission (the “SEC”), and the rules and regulations of The NASDAQ Stock Market LLC. In addition, the Financial Accounting Standards Board (“FASB”), the SEC, and other bodies that have jurisdiction over the form and content of our accounts, our financial statements and other public disclosure are constantly discussing and interpreting proposals and existing pronouncements designed to ensure that companies best display relevant and transparent information relating to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present and future business has been and will continue to be subject to various other laws and regulations. Various laws, regulations and recommendations relating to safe working conditions, laboratory practices, experimental use of animals, and the purchase, storage, movement, import and export, and use and disposal of hazardous or potentially hazardous substances used in connection with our research work are or may be applicable to our activities. Certain agreements entered into by us involving exclusive license rights or acquisitions may be subject to national or supranational antitrust regulatory control, the effect of which cannot be predicted. The extent of government regulation that might result from future legislation or administrative action cannot accurately be predicted.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of December 31, 2025, our workforce consisted of 179 full-time employees. Throughout 2025, the size of our employee population was fairly consistent, ending with headcount slightly higher at the end of the year due to additional positions being added in multiple functions and replacement positions which were open at the beginning of 2025 being filled. Our largest employee population is the field-based commercial team, working from home offices and visiting customers in their territories. Our second largest employee population is located in the greater Los Angeles area, aligned with our corporate headquarters in Los Angeles, California. The majority of our non-field sales employees work remotely from home on a consistent basis. We operate in a virtual work environment, allowing functional management and employees to determine when working virtually is more efficient and productive, and when in-office collaboration is beneficial. This work model allows us to attract and hire employees from across the country, which contributes to increased employee engagement, satisfaction and retention. We are an equal opportunity employer and believe strongly in hiring and maintaining a diverse, equitable and inclusive workforce. This is reflected in our numbers with our total workforce being approximately 46% women and 39% ethnically diverse. The following table summarizes our workforce by location for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tbl>
      <w:tblPr>
        <w:tblW w:w="5218" w:type="dxa"/>
        <w:jc w:val="left"/>
        <w:tblInd w:w="0" w:type="dxa"/>
        <w:tblLayout w:type="fixed"/>
        <w:tblCellMar>
          <w:top w:w="0" w:type="dxa"/>
          <w:left w:w="0" w:type="dxa"/>
          <w:bottom w:w="0" w:type="dxa"/>
          <w:right w:w="0" w:type="dxa"/>
        </w:tblCellMar>
      </w:tblPr>
      <w:tblGrid>
        <w:gridCol w:w="1685"/>
        <w:gridCol w:w="60"/>
        <w:gridCol w:w="247"/>
        <w:gridCol w:w="1392"/>
        <w:gridCol w:w="60"/>
        <w:gridCol w:w="60"/>
        <w:gridCol w:w="247"/>
        <w:gridCol w:w="1392"/>
        <w:gridCol w:w="7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 Angeles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San Francisco</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Field &amp; Remote</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believe that the safety and health of our employees and their families are essential to our business. Our goal is to support the well-being of our employees. We believe that our employees and their families need to be healthy to be the most productive and engaged at work. Our financial, health and wellness benefits are designed to assist employees with financial planning, preventative health care and support when unexpected circumstances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continue to support employee wellbeing, work flexibility, and work efficiency by offering the following:</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1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robust offering of benefit options;</w:t>
            </w:r>
          </w:p>
        </w:tc>
      </w:tr>
    </w:tbl>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60"/>
        <w:gridCol w:w="110"/>
        <w:gridCol w:w="48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periodic reminders of our benefit options to our employees;</w:t>
            </w:r>
          </w:p>
        </w:tc>
      </w:tr>
    </w:tbl>
    <w:p>
      <w:pPr>
        <w:pStyle w:val="TextBody"/>
        <w:bidi w:val="0"/>
        <w:spacing w:before="0" w:after="0"/>
        <w:ind w:left="0" w:right="0" w:hanging="0"/>
        <w:jc w:val="left"/>
        <w:rPr/>
      </w:pPr>
      <w:r>
        <w:rPr/>
        <w:t> </w:t>
      </w:r>
    </w:p>
    <w:tbl>
      <w:tblPr>
        <w:tblW w:w="6820" w:type="dxa"/>
        <w:jc w:val="left"/>
        <w:tblInd w:w="0" w:type="dxa"/>
        <w:tblLayout w:type="fixed"/>
        <w:tblCellMar>
          <w:top w:w="0" w:type="dxa"/>
          <w:left w:w="0" w:type="dxa"/>
          <w:bottom w:w="0" w:type="dxa"/>
          <w:right w:w="0" w:type="dxa"/>
        </w:tblCellMar>
      </w:tblPr>
      <w:tblGrid>
        <w:gridCol w:w="60"/>
        <w:gridCol w:w="110"/>
        <w:gridCol w:w="66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Lifestyle Spending Account to support employee wellness and fitness activities;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programming, including on-demand and live “Wellness Breaks” facilitated by expert instructors online, and “Walking Challenges” to motivate employees to engage with each other for increased physical fitness opportunities;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ergonomic support in the form of training opportunities, 1:1 evaluations and providing ergonomically compatible equipment when necessary.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Compensation &amp;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know that attracting, developing and retaining the best employees is a critical part of our competitive edge, future success, and a key component to delivering the best care for patients. We offer a competitive and robust total compensation package to maintain the most qualified employee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total rewards package consists of competitive salaries benchmarked to market data, cash bonuses and equity grants. Bonus opportunities and equity compensation increase as a percentage of total compensation based on level of responsibility, with actual bonus payout based on performance. In addition to competitive salaries and performance incentives, we offer employees 100% employer-paid premiums for medical, dental, vision, mental health services, and life insurance. In addition, we offer a 401(k) plan with employer match, paid time off, various leave of absence options, fertility benefits, fitness/wellness benefits, volunteer days and more. Our benefit programs are constantly evolving to meet our employees’ needs and are reviewed and modified each year as part of our commitment to employee wellness and success. Total compensation represents a broad spectrum of plans and programs designed to reward and motivate employees throughout their careers at Puma.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Culture and Communication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core values are the principles that guide our company strategy and our individual actions. Our positive and supportive culture is continuously referenced by employees as a reason they enjoy working at Puma. We maintain a work environment that is collaborative, friendly, supportive and encourages our employees to focus on patient outcomes as a key motivator. We host employee events with medical and scientific presentations given by experts in the field, patient ambassadors, thought leaders and functional leaders to foster employee education. At all times we strive to distinguish ourselves as a respected biopharmaceutical company that is differentiated by top talent and innovative products to enhance cancer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All employees are responsible for upholding our core values, including to be patient-centric, to communicate, collaborate, innovate, and be respectful, as well as for adhering to our Code of Ethics. These values nurture an inclusive workforce striving for excellence that puts the well-being of our patients first. The majority of our employees have obtained advanced degrees in their professions, and we support their continued development with individualized development plans and objectives, mentoring, coaching, training and conference attendance. In addition, we offer an Educational Reimbursement Program to assist employees who want to further their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Communication is critical in our ability to continuously enhance our company culture and create a more inclusive environment. We conduct virtual town hall meetings to share information about our business activities, company performance, and other topics of interest to our employees. We continue to publish a quarterly newsletter to share interesting and useful information through our involvement in cancer-related conferences and causes, such as </w:t>
      </w:r>
      <w:r>
        <w:rPr>
          <w:rFonts w:ascii="Times New Roman" w:hAnsi="Times New Roman"/>
          <w:i/>
          <w:caps w:val="false"/>
          <w:smallCaps w:val="false"/>
          <w:sz w:val="20"/>
        </w:rPr>
        <w:t xml:space="preserve">Breast Cancer Awareness Month. </w:t>
      </w:r>
      <w:r>
        <w:rPr>
          <w:rFonts w:ascii="Times New Roman" w:hAnsi="Times New Roman"/>
          <w:caps w:val="false"/>
          <w:smallCaps w:val="false"/>
          <w:sz w:val="20"/>
        </w:rPr>
        <w:t xml:space="preserve">We also introduce new employees to the organization in our </w:t>
      </w:r>
      <w:r>
        <w:rPr>
          <w:rFonts w:ascii="Times New Roman" w:hAnsi="Times New Roman"/>
          <w:i/>
          <w:caps w:val="false"/>
          <w:smallCaps w:val="false"/>
          <w:sz w:val="20"/>
        </w:rPr>
        <w:t>Welcome to Puma</w:t>
      </w:r>
      <w:r>
        <w:rPr>
          <w:rFonts w:ascii="Times New Roman" w:hAnsi="Times New Roman"/>
          <w:caps w:val="false"/>
          <w:smallCaps w:val="false"/>
          <w:sz w:val="20"/>
        </w:rPr>
        <w:t xml:space="preserve"> section, and profile existing employees in our </w:t>
      </w:r>
      <w:r>
        <w:rPr>
          <w:rFonts w:ascii="Times New Roman" w:hAnsi="Times New Roman"/>
          <w:i/>
          <w:caps w:val="false"/>
          <w:smallCaps w:val="false"/>
          <w:sz w:val="20"/>
        </w:rPr>
        <w:t>Get Connected</w:t>
      </w:r>
      <w:r>
        <w:rPr>
          <w:rFonts w:ascii="Times New Roman" w:hAnsi="Times New Roman"/>
          <w:caps w:val="false"/>
          <w:smallCaps w:val="false"/>
          <w:sz w:val="20"/>
        </w:rPr>
        <w:t xml:space="preserve"> section, where we share information about their roles, motivations to be with Puma, backgrounds, and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Corporate Information and History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principal executive offices are located at 10880 Wilshire Boulevard, Suite 1700, Los Angeles, California 90024 and our telephone number is (424) 248-6500. Our internet address is https://www.pumabiotechnology.com. Our annual, quarterly and current reports, and any amendments to those reports, filed or furnished pursuant to Section 13(a) or 15(d) of the Exchange Act may be accessed free of charge through our website after we have electronically filed or furnished such material with the SEC. We also make available free of charge on or through our website our Code of Business Conduct and Ethics, Corporate Governance Guidelines, Audit Committee Charter, Compensation Committee Charter, Nominating and Corporate Governance Committee Charter and Research and Development Committee Charter. We will disclose on a current report on Form 8-K or on our website any amendment or waiver of the Code of Business Conduct and Ethics for our executive officers and directors. Any amendment or waiver disclosed on our website will remain available on our website for at least 12 months after the initial disclosure.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reference to https://www.pumabiotechnology.com (including any other reference to such address in this Annual Report) is an inactive textual reference only, meaning that the information contained on or accessible from the website is not part of this Annual Report and is not incorporated in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were originally incorporated in the State of Delaware in April 2007 under the name Innovative Acquisitions Corp. We were a “shell” company registered under the Exchange Act with no specific business plan or purpose until we acquired Puma Biotechnology, Inc., a privately held Delaware corporation formed on September 15, 2010 (“Former Puma”), in October 2011. As a result of this transaction, Former Puma became our wholly owned subsidiary and subsequently merged with and into us, at which time we adopted Former Puma’s business plan and changed our name to “Puma Biotechnology, Inc.”</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2365" w:type="dxa"/>
        <w:jc w:val="left"/>
        <w:tblInd w:w="0" w:type="dxa"/>
        <w:tblLayout w:type="fixed"/>
        <w:tblCellMar>
          <w:top w:w="0" w:type="dxa"/>
          <w:left w:w="0" w:type="dxa"/>
          <w:bottom w:w="0" w:type="dxa"/>
          <w:right w:w="0" w:type="dxa"/>
        </w:tblCellMar>
      </w:tblPr>
      <w:tblGrid>
        <w:gridCol w:w="875"/>
        <w:gridCol w:w="1490"/>
      </w:tblGrid>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5" w:name="i1A"/>
            <w:bookmarkEnd w:id="5"/>
            <w:r>
              <w:rPr>
                <w:rFonts w:ascii="Times New Roman" w:hAnsi="Times New Roman"/>
                <w:b/>
                <w:caps w:val="false"/>
                <w:smallCaps w:val="false"/>
                <w:sz w:val="20"/>
              </w:rPr>
              <w:t>ITEM 1A.</w:t>
            </w:r>
          </w:p>
        </w:tc>
        <w:tc>
          <w:tcPr>
            <w:tcW w:w="14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In addition to the other information contained in this Annual Report, the following risk factors should be considered carefully in evaluating our company. Our business, financial condition, liquidity and results of operations could be materially adversely affected by any of these risks. The risks and uncertainties described below are not the only ones we face. Additional risks and uncertainties that we are unaware of, or that we currently believe are not material, may also become important factors that affect us.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Financial Condition and Capital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While we have</w:t>
      </w:r>
      <w:r>
        <w:rPr>
          <w:rFonts w:ascii="Times New Roman" w:hAnsi="Times New Roman"/>
          <w:caps w:val="false"/>
          <w:smallCaps w:val="false"/>
          <w:sz w:val="20"/>
        </w:rPr>
        <w:t> </w:t>
      </w:r>
      <w:r>
        <w:rPr>
          <w:rFonts w:ascii="Times New Roman" w:hAnsi="Times New Roman"/>
          <w:b/>
          <w:i/>
          <w:caps w:val="false"/>
          <w:smallCaps w:val="false"/>
          <w:sz w:val="20"/>
        </w:rPr>
        <w:t>reported net income in recent years, we cannot assure that we will continue to do so and</w:t>
      </w:r>
      <w:r>
        <w:rPr>
          <w:rFonts w:ascii="Times New Roman" w:hAnsi="Times New Roman"/>
          <w:caps w:val="false"/>
          <w:smallCaps w:val="false"/>
          <w:sz w:val="20"/>
        </w:rPr>
        <w:t> </w:t>
      </w:r>
      <w:r>
        <w:rPr>
          <w:rFonts w:ascii="Times New Roman" w:hAnsi="Times New Roman"/>
          <w:b/>
          <w:i/>
          <w:caps w:val="false"/>
          <w:smallCaps w:val="false"/>
          <w:sz w:val="20"/>
        </w:rPr>
        <w:t>may not be able to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incurred significant cumulative operating losses since our inception. While we have reported net income in recent years, including the years ended December 31, 2025, 2024 and 2023, we cannot assure that we will continue to do so and will need to continue to generate significant revenue to sustain operations and successfully commercialize neratinib and develop alisertib. As of December 31, 2025, we had an accumulated deficit of approximately $1,283.8 million, outstanding indebtedness of approximately $22.5 million and cash and cash equivalents and marketable securities of approximately $97.5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expect to continue to incur significant expenses and may incur net losses in the future. Since inception, we have devoted substantially all of our resources to identifying, acquiring and developing NERLYNX and to its commercialization in the indications for which it has received regulatory approval. In September 2022, we in-licensed the development and global commercialization rights to our drug candidate, alisertib. Biopharmaceutical development is a highly speculative undertaking and involves a substantial degree of risk. While we experienced profitability in 2025, 2024 and 2023, we may incur operating losses in the future as we continue our efforts to commercialize NERLYNX in existing indications and to develop neratinib for additional indications, and as we commence development efforts for alisertib and any other drug candidates we may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2017, the FDA approved NERLYNX for the extended adjuvant treatment of adult patients with early stage HER2-overexpressed/amplified breast cancer following adjuvant trastuzumab-based therapy. In February 2020, NERLYNX was also approved by the FDA in combination with capecitabine for the treatment of adult patients with advanced or metastatic HER2-positive breast cancer who have received two or more prior anti-HER2-based regimens in the metastatic setting. In 2018, the EC granted a marketing authorization for NERLYNX in the EU for the extended adjuvant treatment of adult patients with early stage hormone receptor-positive HER2-overexpressed/amplified breast cancer and who completed adjuvant trastuzumab-based therapy less than one </w:t>
      </w:r>
      <w:r>
        <w:rPr>
          <w:rFonts w:ascii="Times New Roman" w:hAnsi="Times New Roman"/>
          <w:caps w:val="false"/>
          <w:smallCaps w:val="false"/>
          <w:sz w:val="20"/>
          <w:shd w:fill="FFFFFF" w:val="clear"/>
        </w:rPr>
        <w:t>year ago. W</w:t>
      </w:r>
      <w:r>
        <w:rPr>
          <w:rFonts w:ascii="Times New Roman" w:hAnsi="Times New Roman"/>
          <w:caps w:val="false"/>
          <w:smallCaps w:val="false"/>
          <w:sz w:val="20"/>
        </w:rPr>
        <w:t>e are also in the early stages of development for alisertib. The successful development and commercialization of any drug candidate will require us to perform a variety of functions, including:</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10"/>
        <w:gridCol w:w="4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undertaking pre-clinical development and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10"/>
        <w:gridCol w:w="3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participating in regulatory approval processes;</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formulating and manufacturing products;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10"/>
        <w:gridCol w:w="48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conducting sales and marketing activities; and</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10"/>
        <w:gridCol w:w="4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implementing additional internal systems and infrastructure.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only in the preliminary stages of most of these activities, particularly as they relate to alisertib. We will need to generate significant revenue in order to offset our expenses and maintain profitability. We may not be able to generate this revenue or maintain profitability in the future. As a result, we expect to incur losses for the foreseeable future. Accordingly, we cannot assure you that we will be able to maintain or increase profitability. Our failure to maintain profitability could negatively impact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currently a single product company with limited commercial sales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invested a significant portion of our efforts and financial resources in the development and commercialization of our lead product, NERLYNX. NERLYNX is the only product for which we currently receive product revenue, and we expect NERLYNX to constitute the vast majority of our product revenue for the foreseeable future. By virtue of being dependent on a single product, we do not have the ability to spread out risk or commercial fluctuations across a portfolio of products. As a result, our success depends entirely on the commercial success of NERLYNX. NERLYNX is the first product that we, as an organization, have launched and commercialized, and there is no guarantee that we will be able to do so successfully. There are numerous examples of unsuccessful product launches and failures to meet high expectations of market potential, including by pharmaceutical companies with more experience and resources than we have.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successfully commercialize NERLYNX in the future.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60"/>
        <w:jc w:val="left"/>
        <w:rPr>
          <w:rFonts w:ascii="Times New Roman" w:hAnsi="Times New Roman"/>
          <w:caps w:val="false"/>
          <w:smallCaps w:val="false"/>
          <w:sz w:val="20"/>
        </w:rPr>
      </w:pPr>
      <w:r>
        <w:rPr>
          <w:rFonts w:ascii="Times New Roman" w:hAnsi="Times New Roman"/>
          <w:caps w:val="false"/>
          <w:smallCaps w:val="false"/>
          <w:sz w:val="20"/>
        </w:rPr>
        <w:t>The future commercial success of NERLYNX depends on the extent to which patients and physicians accept and adopt NERLYNX. For example, if the expected patient population is smaller than we estimate or if physicians are unwilling to prescribe or patients are unwilling to take or continue to take NERLYNX, due to any perceived efficacy limitations or related side effects, including diarrhea, or otherwise, the commercial success of NERLYNX will be limited. Thus, significant uncertainty remains regarding the future commercial potential of NERLYNX. We believe our ability to effectively increase product revenue from NERLYNX depends on our ability to, among other things:</w:t>
      </w:r>
    </w:p>
    <w:p>
      <w:pPr>
        <w:pStyle w:val="TextBody"/>
        <w:bidi w:val="0"/>
        <w:spacing w:before="0" w:after="0"/>
        <w:ind w:left="160" w:right="0" w:firstLine="56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10"/>
        <w:gridCol w:w="5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achieve and maintain compliance with regulatory requirements;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create and sustain market demand for NERLYNX through our marketing and sales activities and other arrangements established for the promotion of NERLYNX;</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60"/>
        <w:gridCol w:w="110"/>
        <w:gridCol w:w="8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 xml:space="preserve">compete with other breast cancer drugs, including clinical trials (either in the present or in the future);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educate physicians and patients about the benefits, administration and use of NERLYNX;</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10"/>
        <w:gridCol w:w="39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train, deploy and support a qualified sales force;</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ensure and maintain appropriate placement on formularies and pathways;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ensure that our third-party manufacturers manufacture NERLYNX in sufficient quantities, in compliance with requirements of the FDA and similar foreign regulatory agencies where NERLYNX is approved, and at acceptable quality and pricing levels in order to meet commercial demand;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ensure that our third-party manufacturers develop, validate and maintain commercially viable manufacturing processes that are compliant with current Good Manufacturing Practice (“cGMP”) or similar foreign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10"/>
        <w:gridCol w:w="9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agreements with wholesalers, distributors and group purchasing organizations on commercially reasonable terms;</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60"/>
        <w:gridCol w:w="110"/>
        <w:gridCol w:w="81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ensure that our entire supply chain efficiently and consistently delivers NERLYNX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 broad levels of coverage and reimbursement for NERLYNX from commercial health plans and governmental health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continue to provide co-pay assistance to help qualified patients with out-of-pocket costs associated with their NERLYNX prescription and/or other programs to ensure patient access to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10"/>
        <w:gridCol w:w="78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acceptance of NERLYNX as safe and effective by patients and the medical community;</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110"/>
        <w:gridCol w:w="6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influence the nature and volume of publicity relative to our competitors’ products;</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10"/>
        <w:gridCol w:w="6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regulatory approvals for additional indications for the use of neratinib;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and defend our patent protection and regulatory exclusivity for NERLYNX and to comply with our obligations under, and otherwise maintain, our intellectual property license with Pfizer and our license agreements with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cannot assure you that we will successfully address each of these uncertainties or any others we may face in the ongoing commercialization of NERLYNX. In addition, we are dependent on international third-party sub-licensees for the development and commercialization of NERLYNX in several countries outside the United States. The failure of these sub-licensees to meet their contractual, regulatory or other obligations could adversely affect international sales of NERLYNX and hinder our ability to generate revenue. These uncertainties make it difficult to predict our future commercial opportunity and forecast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secure additional financing on favorable terms, or at all, to meet our future capital needs and our failure to obtain additional financing when needed on acceptable terms, or at all, could force us to delay, limit, reduce or terminate our product development or commercialization efforts or other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operations have consumed substantial amounts of cash since inception. As we continue to commercialize NERLYNX and as we pursue development of alisertib, our costs and expenses may increase in the future due to, among other things, the cost of a direct sales force and the cost of manufacturing. We will also continue to expend substantial amounts on research and development of our other drug candidates, including conducting clinical trials. 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10"/>
        <w:gridCol w:w="8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expenses of our United States sales and marketing infrastructure, and of manufacturing;</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degree of success we experience in commercializing NERLYNX;</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60"/>
        <w:gridCol w:w="110"/>
        <w:gridCol w:w="7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revenue generated by the sale of NERLYNX and any other products that may be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timing and outcomes of clinical trials and regulatory reviews associated with developing neratinib for additional indications, alisertib and our other drug candidates;</w:t>
            </w:r>
          </w:p>
        </w:tc>
      </w:tr>
    </w:tbl>
    <w:p>
      <w:pPr>
        <w:pStyle w:val="TextBody"/>
        <w:bidi w:val="0"/>
        <w:spacing w:before="0" w:after="0"/>
        <w:ind w:left="0" w:right="0" w:hanging="0"/>
        <w:jc w:val="left"/>
        <w:rPr/>
      </w:pPr>
      <w:r>
        <w:rPr/>
        <w:t> </w:t>
      </w:r>
    </w:p>
    <w:tbl>
      <w:tblPr>
        <w:tblW w:w="3295" w:type="dxa"/>
        <w:jc w:val="left"/>
        <w:tblInd w:w="0" w:type="dxa"/>
        <w:tblLayout w:type="fixed"/>
        <w:tblCellMar>
          <w:top w:w="0" w:type="dxa"/>
          <w:left w:w="0" w:type="dxa"/>
          <w:bottom w:w="0" w:type="dxa"/>
          <w:right w:w="0" w:type="dxa"/>
        </w:tblCellMar>
      </w:tblPr>
      <w:tblGrid>
        <w:gridCol w:w="60"/>
        <w:gridCol w:w="110"/>
        <w:gridCol w:w="3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emergence of competing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NERLYNX or any other drug candidates we develop are adopted by the physician community and patients;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and types of future drug candidates we develop and commercialize;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preparing, filing and prosecuting patent applications and maintaining, enforcing and defending 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10"/>
        <w:gridCol w:w="81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operating as a public company and compliance with existing and future regulations; and</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and scope of our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While our consolidated financial statements have been prepared on a going concern basis, we expect to incur significant losses for the foreseeable future and will continue to remain dependent on our ability to obtain sufficient funding to sustain operations and successfully commercialize NERLYNX and develop alisertib. While we have been successful in raising financing in the past, there can be no assurance that we will be able to do so in the future. Additional financing may not be available on a timely basis on terms acceptable to us, or at all. We may raise funds in equity or debt financings to access funds for our capital needs. If we raise additional funds through further issuances of equity or convertible debt securities, our existing stockholders could suffer significant dilution in their percentage ownership of our company, and any new equity securities we issue could have rights, preferences and privileges senior to those of holders of our common stock. Any debt financing obtained by us in the future would cause us to incur debt service expenses and could include restrictive covenants relating to our capital raising activities and other financial and operational matters, which may make it more difficult for us to obtain additional capital and pursue business opportunities. If we are unable to obtain adequate financing or financing on terms satisfactory to us when we require it, we may terminate or delay the development of one or more of our drug candidates, delay clinical trials necessary to market our products, or delay establishment of sales and marketing capabilities or other activities necessary to commercialize our products. If this were to occur, our ability to continue to grow and support our business and to respond to business challenges could be significantly limited. Furthermore, our ability to obtain funding may be adversely impacted by uncertain market conditions, our success in commercializing NERLYNX, unfavorable decisions of regulatory authorities or adverse clinical trial results. The outcome of these matters cannot be predicted at this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terms of our Note Purchase Agreement</w:t>
      </w:r>
      <w:r>
        <w:rPr>
          <w:rFonts w:ascii="Times New Roman" w:hAnsi="Times New Roman"/>
          <w:caps w:val="false"/>
          <w:smallCaps w:val="false"/>
          <w:sz w:val="20"/>
        </w:rPr>
        <w:t> </w:t>
      </w:r>
      <w:r>
        <w:rPr>
          <w:rFonts w:ascii="Times New Roman" w:hAnsi="Times New Roman"/>
          <w:b/>
          <w:i/>
          <w:caps w:val="false"/>
          <w:smallCaps w:val="false"/>
          <w:sz w:val="20"/>
        </w:rPr>
        <w:t>place restrictions on our ability to operate our business and on our financial flexibility, and we may be unable to achieve the revenue necessary for us to incur additional borrowings under the Note Purchase Agreement or to satisfy the minimum revenue and cash balance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party to a Note Purchase Agreement with Athyrium Opportunities IV Co-Invest 1 LP (“Athyrium”), providing for potential issuance by us of notes of up to $125.0 million, which mature on July 23, 2026. The terms of our Note Purchase Agreement place restrictions on our ability to operate our business and on our financial flexibility. As of December 31, 2025, the aggregate principal amount outstanding under the notes sold pursuant to the Note Purchase Agreement (collectively, the “Athyrium Notes”) was $22.5 million. The Athyrium Notes are secured by collateral which consists of our equity interests in our domestic and foreign subsidiary (including up to 100% of the issued and outstanding equity interests in our subsidiary directly owned by us or the guarantors of the Athyrium Notes) and substantially all of our property. In addition to voluntary prepayments, we may also be required to make mandatory prepayments under the Athyrium Notes in varying amounts within three (3) business days of the occurrence of certain events, including in the event that we receive proceeds from a voluntary or involuntary disposition and such proceeds are not reinvested in eligible assets within 180 days of the date of such disposition, or in the event that we receive extraordinary receipt cash proceeds and such proceeds are not reinvested in eligible assets within 180 days of the date of such extraordinary receipt. The Note Purchase Agreement includes affirmative and negative covenants applicable to us and our subsidiary. The affirmative covenants include, but are not limited to, requirements to (i) maintain our legal existence and take all reasonable actions to maintain our rights, privileges and authorizations (including renewal of permits or licenses) necessary to conduct our business and maintain our intellectual property, (ii) deliver certain financial statements, certificates and other information to Athyrium on a regular basis, (iii) maintain adequate insurance coverage with respect to the properties and business and (iv) cause all of our deposit accounts (other than certain “excluded accounts”) to be subject to Deposit Account Control Agreements. The negative covenants include, but are not limited to, restrictions on (i) creating or incurring certain liens on our property, assets or revenues, (ii) making certain investments or incurring additional indebtedness, (iii) engaging in certain business or strategic activities (including transactions with affiliates or insiders) and (iv) paying certain dividends, distributions or other restricted payments. Additionally, pursuant to the Note Purchase Agreement, we must maintain a minimum cash balance in our accounts subject to a deposit account control agreement and must achieve certain levels of product revenue for any four (4) consecutive fiscal quarter periods. These affirmative and negative covenants may make it difficult for us to operate our business. In addition, we cannot assure you that we will be able to achieve the minimum product revenue requirements or minimum cash balance requirements under the Note Purchase Agreement. Our failure to satisfy such requirements, or our direct or indirect breach of certain other covenants, could result in an event of default under the Athyrium Notes. The occurrence and continuation of an event of default could (i) cause interest to accrue at a rate per annum equal to the applicable interest rate under the Note Purchase Agreement </w:t>
      </w:r>
      <w:r>
        <w:rPr>
          <w:rFonts w:ascii="Times New Roman" w:hAnsi="Times New Roman"/>
          <w:i/>
          <w:caps w:val="false"/>
          <w:smallCaps w:val="false"/>
          <w:sz w:val="20"/>
        </w:rPr>
        <w:t>plus</w:t>
      </w:r>
      <w:r>
        <w:rPr>
          <w:rFonts w:ascii="Times New Roman" w:hAnsi="Times New Roman"/>
          <w:caps w:val="false"/>
          <w:smallCaps w:val="false"/>
          <w:sz w:val="20"/>
        </w:rPr>
        <w:t> two percent (2.00%) and (ii) cause accrued and unpaid interest on past due amounts (including interest thereon) to be due and payable in cash on demand. Additionally, upon the occurrence or continuation of an event of default, Athyrium, in its capacity as administrative agent, would have the right to exercise remedies against us, including declaring the unpaid principal amount under the Note (and interest thereon) immediately due and payable, and foreclosure against the property securing the Athyrium Notes (including our cash). Other events of default under the Note Purchase Agreement include, but are not limited to, (i) our failure to pay principal or interest due under the Note Purchase Agreement, (ii) our insolvency or related actions (including an assignment for the benefit of creditors), (iii) the existence of material adverse changes in our business or products, (iv) the occurrence of any default under certain other indebtedness in an amount greater than $750,000 or one or more judgments against us in an amount greater than $750,000 individually or in the aggregate that remains unsatisfied, unvacated or unstayed for a period of thirty (30) days after its entry and (v) the delisting of our shares of common stock from the Nasdaq Capital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Discovery and Development of our Products and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in-licensed alisertib, a drug candidate for which we have assumed all responsibility for global development and commercialization. Our development of alisertib will be expensive, lengthy and unpredictable, and any failure to successfully develop alisertib will have a material adverse effect on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September 2022, we in-licensed alisertib from Takeda. Pursuant to our exclusive license agreement with Takeda, we are responsible for global development and commercialization of alisertib. Clinical development of alisertib will be expensive, lengthy and unpredictable. Failure or delay can occur at any time during the development process. There are numerous risks associated with our planned development alisertib, including the following:</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110"/>
        <w:gridCol w:w="4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limited experience developing alisertib;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pre-clinical studies and early clinical studies of alisertib may not be predictive of later clinical studies, and success in previous stages cannot ensure positive outcome of future stages of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Alisertib may fail to show the desired pharmacological properties or safety and efficacy traits despite having progressed through pre-clinical studies and early clinical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 if we complete clinical development of alisertib, the results may not be sufficient to obtain regulatory approval in the United States or other countries;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license agreement with Takeda may be terminated by Takeda if we materially breach the agreement, in which case we would lose all rights to develop and commercialize alisertib;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plan to rely on third party contractors to formulate and manufacture alisertib for clinical trials and these third-party contractors may be unable to formulate and manufacture alisertib in the volume and quality we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plan to rely on third-party contractors to conduct our clinical trials of alisertib and if those parties fail to perform their services within expected timelines or fail to comply with regulatory requirements, our development efforts could be delayed;</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10"/>
        <w:gridCol w:w="72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are expensive, time-consuming and difficult to design and implement; and</w:t>
            </w:r>
          </w:p>
        </w:tc>
      </w:tr>
    </w:tbl>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10"/>
        <w:gridCol w:w="88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of alisertib could distract management’s attention from other important aspects of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Even if we are successful in developing alisertib, we cannot assure you that we will be able to successfully commercialize alisertib. Any delays or failure in our development of alisertib could have material adverse effects on our business,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and topline data also remain subject to audit and verification procedures that may result in the final data being materially different from the preliminary data we previously published. Consequently, preliminary and topline data should be viewed with caution until the final data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From time to time, we may also disclose interim data from our clinical trial.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NERLYNX, alisertib or other drug candidates may cause undesirable side effects or have other properties when used alone or in combination with other approved products or investigational new drugs that could delay or prevent their regulatory approval, limit the commercial profile of an approved label, or result in significant negative consequences following marketing approval, if any, as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Undesirable side effects caused by NERLYNX, alisertib or other drug candidates could cause us or regulatory authorities to interrupt, delay or halt clinical trials and could result in a more restrictive label or the delay or denial of regulatory approval by the FDA or other comparable foreign regulatory authorities. To date, subjects treated with NERLYNX have experienced drug-related side effects such as diarrhea.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Additionally, if we or others later identify undesirable side effects caused by any approved product, including in combination with other approved products or investigational new drugs,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10"/>
        <w:gridCol w:w="5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approvals of such product;</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additional warnings on the label;</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10"/>
        <w:gridCol w:w="9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suspend marketing of a product, or we may decide to remove such product from the marketplace;</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create a medication guide outlining the risks of such side effects for distribution to patients;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could be subject to fines, injunctions, or the imposition of criminal or civil penalties, or be sued and held liable for harm caused to patients; and</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110"/>
        <w:gridCol w:w="2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NERLYNX or the particular drug candidate, if approved, and could significantly harm our business, results of operations and prospects.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in the early stages of development of alisertib, and we cannot be certain that we will be successful if we seek regulatory approvals for our drug</w:t>
      </w:r>
      <w:r>
        <w:rPr>
          <w:rFonts w:ascii="Times New Roman" w:hAnsi="Times New Roman"/>
          <w:caps w:val="false"/>
          <w:smallCaps w:val="false"/>
          <w:sz w:val="20"/>
        </w:rPr>
        <w:t> </w:t>
      </w:r>
      <w:r>
        <w:rPr>
          <w:rFonts w:ascii="Times New Roman" w:hAnsi="Times New Roman"/>
          <w:b/>
          <w:i/>
          <w:caps w:val="false"/>
          <w:smallCaps w:val="false"/>
          <w:sz w:val="20"/>
        </w:rPr>
        <w:t>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expect that a substantial portion of our efforts and expenditures over the next few years will be devoted to the development of alisertib. The research, testing, manufacturing, labeling, approval, sale, marketing and distribution of drug products are and will remain subject to extensive regulation by the FDA and other regulatory authorities in the United States and other countries that each have differing regulations. We cannot predict with any certainty that any NDA or supplemental NDA (or similar foreign applications) to market alisertib or our other drug candidates will be approved by the FDA or foreign regulatory authorities. We are not permitted to market neratinib for other indications or alisertib or any of our other drug candidates in the United States until we receive approval of an NDA from the FDA or until we receive an MA from the EC in the EU, as applicable, for such indications, or, in any foreign countries, until requisite approval from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Approval of neratinib by the FDA or the EC for any particular indication does not ensure that another foreign jurisdiction will also approve neratinib for such indication, nor does it ensure that neratinib will be approved by the FDA or the EC for any other indications. Similarly, approval of alisertib by the FDA or the EC would not ensure that another jurisdiction will also approve alisertib. Obtaining approval of an NDA or foreign marketing application is an extensive, lengthy, expensive and inherently uncertain process, and the FDA or a foreign regulator may delay, limit or deny approval of a drug candidate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demonstrate that NERLYNX, alisertib or any other drug candidate is safe and effective as a treatment for our targeted indications to the satisfaction of the FDA or other foreign regulator;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our clinical trials may not meet the level of statistical or clinical significance required by the FDA or other foreign regulator for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disagree with the number, design, size, conduct or implementation of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CRO that we retain to conduct clinical trials or any other third parties involved in the conduct of trials may take actions outside of our control that materially adversely impact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not find the data from pre-clinical studies and clinical trials sufficient to demonstrate that the clinical and other benefits of NERLYNX, alisertib or any other drug candidate outweigh the safety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disagree with our interpretation of data from our pre-clinical studies and clinical trials or may require that we conduct additional studies or trials;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10"/>
        <w:gridCol w:w="73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not accept data generated at our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require development of a Risk Evaluation and Mitigation Strategy or similar risk management measures as a condition of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identify deficiencies in the manufacturing processes or facilities of our third-party manufacturers; or</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foreign regulators may change their approval policies or adopt new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do not obtain regulatory approval of alisertib or our other drug candidates in a particular jurisdiction, we will not be able to market such drug candidate in that jurisdiction. Therefore, failure to obtain regulatory approval of alisertib or our other drug candidates will limit our commercial revenue.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FDA and foreign regulatory authorities may change their approval policies and new regulations may be enacted. For instance, the EU pharmaceutical legislation has been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however have a significant impact on the biopharmaceutical industry in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are subject to ongoing obligations and continued regulatory review with regard to NERLYNX, alisertib and any other drug candidates that may receive FDA or foreign regulatory approval, which may result in significant expense. Additionally, NERLYNX, alisertib and our other drug candidates, if approved, could be subject to labeling and other restrictions and market withdrawal and we may be subject to penalties if we fail to comply with regulatory requirements or experience unanticipated problems with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FDA’s approval for NERLYNX and any regulatory approvals that we receive for alisertib or our other drug candidates may also be subject to limitations on the approved indicated uses for which the product may be marketed or to the conditions of approval, or contain requirements for potentially costly post-marketing testing, including clinical trials, and surveillance to monitor the safety and efficacy of the drug candidate. In addition,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similar requirements and GCPs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the marketing or manufacturing of the product, withdrawal of the product from the market, or voluntary or mandatory product recalls;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10"/>
        <w:gridCol w:w="3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fines, warning letters or holds on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refusal by the FDA or foreign regulatory authorities to approve pending applications or supplements to approved applications filed by us, or suspension or revocation of product license approvals;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seizure or detention, or refusal to permit the import or export of products; and</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10"/>
        <w:gridCol w:w="48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injunctions or the imposition of civil or criminal penalties.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FDA’s and foreign regulatory authorities' policies may change, and additional government regulations may be enacted that could prevent, limit or delay regulatory approval of our drug candidates. We also cannot predict the likelihood, nature or extent of government regulation that may arise from future legislation or administrative or executive action, either in the United States or outside the United States. If we are slow or unable to adapt to changes in existing requirements or the adoption of new requirements or policies, or if we are not able to maintain regulatory compliance, we may be subject to enforcement action, which would adversely affect our business, prospects and ability to achieve or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ability of the FDA and foreign regulatory authorities to review and approve new products can be affected by a variety of factors, including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Clinical trials are very expensive, time-consuming and difficult to design and implement.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Although NERLYNX has been approved by the FDA for two limited indications, alisertib and our other drug candidates are in development as well, all of which will require extensive clinical testing before we can submit any NDA or similar foreign entities for regulatory approval. We may face significant difficulties during our development of alisertib. Human clinical trials are very expensive and difficult to design and implement, in part because they are subject to rigorous regulatory requirements. The clinical trial process is also time consuming. We estimate that clinical trials for any of our drug candidates will take at least several years to complete. Furthermore, failure can occur at any stage of the trials, and we could encounter problems that cause us to abandon or repeat clinical trials. The results of pre-clinical studies and early clinical trials of our drug candidates may not be predictive of the results of later-stage clinical trials.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10"/>
        <w:gridCol w:w="10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foreign regulatory authorities disagreeing as to the design or implementation of our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10"/>
        <w:gridCol w:w="9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regulatory authorizations to commence a trial or reaching a consensus with regulatory authorities on trial design;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failure or delay in reaching an agreement with CROs and clinical trial sites, the terms of which can be subject to extensive negotiation and may vary significantly among different CROs and trial sites;</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approval or a positive opinion from one or more institutional review boards (“IRBs”) or ethics committees;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IRBs refusing to approve, suspending or terminating the trial at an investigational site, precluding enrollment of additional subjects, or withdrawing their approval of the trial;</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110"/>
        <w:gridCol w:w="2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to clinical trial protocol;</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10"/>
        <w:gridCol w:w="5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sites deviating from trial protocol or dropping out of a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sufficient quantities of drug candidate or obtaining sufficient quantities of combination therapies for use in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0"/>
        <w:gridCol w:w="110"/>
        <w:gridCol w:w="9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subjects failing to enroll or remain in our trial at the rate we expect, or failing to return for post- treatment follow-up;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subjects choosing an alternative treatment for the indication for which we are developing our drug candidates, or participating in competing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adequate funding to continue the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10"/>
        <w:gridCol w:w="5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subjects experiencing severe or unexpected drug-related adverse effects;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10"/>
        <w:gridCol w:w="8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occurrence of serious adverse events in trials of the same class of agents conducted by other companies;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10"/>
        <w:gridCol w:w="9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selection of clinical end points that require prolonged periods of clinical observation or analysis of the resulting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facility manufacturing our drug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drug candidates in the manufacturing process;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changes to our manufacturing process that may be necessary or desired;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clinical investigators losing the licenses or permits necessary to perform our clinical trials, not performing our clinical trials on our anticipated schedule or consistent with the clinical trial protocol, GCP, or other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110"/>
        <w:gridCol w:w="80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contractors not performing data collection or analysis in a timely or accurate manner;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contractors becoming debarred or suspended or otherwise penalized by the FDA or other foreign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Further, we, the FDA, foreign regulatory authorities, or an IRB may suspend our clinical trials at any time if it appears that we or our collaborators are failing to conduct a trial in accordance with regulatory requirements, that we are exposing participants to unacceptable health risks, or if the FDA or such other foreign regulator finds deficiencies in our IND or comparable submissions supporting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drug candidates could be harmed, and our ability to generate revenue from the drug candidates may be delayed. In addition, any delays in our clinical trials could increase our costs, slow down the approval process and jeopardize our ability to commence product sales and generate revenue. Any of these occurrences may harm our business, financial condition and results of operations. In addition, many of the factors that cause, or lead to, a delay in the commencement or completion of clinical trials may also ultimately lead to the denial of regulatory approval of our drug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the FDA’s and other foreign regulatory authorities’ policies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are slow or unable to adapt to changes in existing requirements or the adoption of new requirements or policies governing clinical trials, our development plans may be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Enrollment and retention of patients in clinical trials is an expensive and time-consuming process and could be made more difficult or rendered impossible by multiple factors outside our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encounter delays in enrolling, or be unable to enroll, a sufficient number of patients to complete any of our clinical trials, and even once enrolled we may be unable to retain a sufficient number of patients to complete any of our trials. Patient enrollment and retention in clinical trials depends on many factors, including the size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sites and the eligibility criteria for the study. Furthermore, any negative results we may report in clinical trials of any of our drug candidates may make it difficult or impossible to recruit and retain patients in other clinical studies of that same drug candidate. Delays or failures in planned patient enrollment and/or retention may result in increased costs, program delays or both, which could have a harmful effect on our ability to develop our drug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results of our clinical trials may not support our drug candidate claims.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Even if our clinical trials are completed as planned, we cannot be certain that their results will support the safety and effectiveness of our drug candidates for our targeted indications. Success in pre-clinical testing and early clinical trials does not ensure that later clinical trials will be successful, and we cannot be sure that the results of later clinical trials will replicate the results of prior clinical trials and pre-clinical testing. A failure of a clinical trial to meet its predetermined endpoints would likely cause us to abandon a drug candidate and may delay development of other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Moreover, pre-clinical and clinical data are often susceptible to varying interpretations and analyses and many companies that believed their drug candidates performed satisfactorily in preclinical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applications seeking approval of our drug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drug candidates. Even if regulatory approval is secured for any of our drug candidates, the terms of such approval may limit the scope and use of our drug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drug candidates.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in the future seek accelerated approval for our one or more of our drug candidates, including alisertib. Under the accelerated approval program, the FDA may grant accelerated approval to a drug candidate designed to treat a serious or life-threatening condition that provides meaningful therapeutic benefit over available therapies upon a determination that the drug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the Food and Drug Omnibus Reform Act of 2022, among other things, provided the FDA with additional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or NDA supplement, for accelerated approval or any other form of expedited development, review or approval. Furthermore, if we decide to submit an application for accelerated approval for our drug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if any, could increase the cost of development of such drug candidate and could harm our competitive position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Commercialization of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limited experience as a company in marketing or distributing pharmaceutical products. If we are unable to expand our marketing and sales capabilities in the commercialization of NERLYNX, our business, results of operations and financial condition may be materially adversely affected.</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we rely on a direct sales force. NERLYNX is a marketed drug and none of the members of our sales force had ever promoted NERLYNX prior to its commercial launch. There are risks with establishing, growing and maintaining our own sales and marketing capabilities, including:</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110"/>
        <w:gridCol w:w="50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expense and time required to recruit and train a sales force;</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60"/>
        <w:gridCol w:w="110"/>
        <w:gridCol w:w="95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recruit, retain or motivate adequate numbers of effective and qualified sales and marketing personnel;</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provide adequate training to sales and marketing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to train our sales force to ensure that a consistent and appropriate message about NERLYNX is being delivered to our potential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of sales personnel to obtain access to physicians or convince adequate numbers of physicians to prescribe any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equip the sales force with effective materials, including medical and sales literature, to help them inform and educate physicians and patients about the benefits of NERLYNX and its proper administration; and</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10"/>
        <w:gridCol w:w="88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costs and expenses associated with maintaining an independent sales and marketing organization.</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are unable to effectively address these risks, our efforts to commercialize NERLYNX successfully could be harmed, which would negatively impact our ability to generate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Additionally, we will need to maintain and further develop our sales force to achieve commercial success, and we will be competing with other pharmaceutical and biotechnology companies to recruit, hire, train and retain marketing and sales personnel. In the event we are unable to continue to develop and effectively maintain our commercial team, including our U.S. sales force, our ability to successfully commercialize our products would be limited, and we would not be able to generate product revenue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Similarly, if we enter into arrangements with third parties to perform sales, marketing and distribution services, our product revenue or the profitability associated with any product revenue may be lower than if we were to market and sell any products that we develop ourselves. In addition, we may not be successful in entering into arrangements with third parties to sell and market our products or may be unable to do so on terms that are favorable to us. We may have little control over such third parties, and any of them may fail to devote the necessary resources and attention to sell and market our products effectively. Moreover, we may be negatively impacted by other factors outside of our control relating to such third parties, including, but not limited to, their inability to comply with regulatory requirements. If we do not maintain sales, marketing and distribution capabilities successfully, either on our own or in collaboration with third parties, we will not be successful in commercializing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exposed to the risks associated with reliance on a direct sales force to commercialize NERLYNX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United States, we rely on a direct sales force to market NERLYNX. Additionally, for any future products that we successfully develop, we will need to establish or maintain effective sales and marketing capabilities or enter into agreements with third parties to sell or market those products. There are risks with maintaining and growing our own sales and marketing capabilities, including:</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110"/>
        <w:gridCol w:w="50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expense and time required to recruit and train a sales force;</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60"/>
        <w:gridCol w:w="110"/>
        <w:gridCol w:w="95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recruit, retain or motivate adequate numbers of effective and qualified sales and marketing personnel;</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provide adequate training to sales and marketing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to train our sales force to ensure that a consistent and appropriate message about NERLYNX is being delivered to our potential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of sales personnel to obtain access to physicians or convince adequate numbers of physicians to prescribe any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equip the sales force with effective materials, including medical and sales literature, to help them inform and educate physicians and patients about the benefits of NERLYNX and its proper administration;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costs and expenses associated with creating or maintaining an independent sales and marketing organization;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premature or unnecessary incurrence of significant commercialization expenses if the commercial launch of a product is delayed or does not occur for any reason.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are unable to effectively address these risks, our efforts to commercialize NERLYNX, or any additional drug candidates that we develop, could be harmed, which would negatively impact our ability to generate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Outside the United States, we rely entirely on third-party sublicenses for the development and commercialization of NERLYNX. For a description of the risks associated with those arrangements see, “—</w:t>
      </w:r>
      <w:r>
        <w:rPr>
          <w:rFonts w:ascii="Times New Roman" w:hAnsi="Times New Roman"/>
          <w:i/>
          <w:caps w:val="false"/>
          <w:smallCaps w:val="false"/>
          <w:sz w:val="20"/>
        </w:rPr>
        <w:t>Risks Related to Third Parties</w:t>
      </w:r>
      <w:r>
        <w:rPr>
          <w:rFonts w:ascii="Times New Roman" w:hAnsi="Times New Roman"/>
          <w:caps w:val="false"/>
          <w:smallCaps w:val="false"/>
          <w:sz w:val="20"/>
        </w:rPr>
        <w:t>—</w:t>
      </w:r>
      <w:r>
        <w:rPr>
          <w:rFonts w:ascii="Times New Roman" w:hAnsi="Times New Roman"/>
          <w:i/>
          <w:caps w:val="false"/>
          <w:smallCaps w:val="false"/>
          <w:sz w:val="20"/>
        </w:rPr>
        <w:t>We are dependent on international third-party sub-licensees for the development and commercialization of NERLYNX in several countries outside the United States. The failure of these sub-licensees to meet their contractual, regulatory or other obligations could adversely affect our business.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NERLYNX commercialization efforts may fail to achieve the degree of market acceptance by patients and physicians necessary for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was approved by the FDA in 2017. We had total revenue for N</w:t>
      </w:r>
      <w:r>
        <w:rPr>
          <w:rFonts w:ascii="Times New Roman" w:hAnsi="Times New Roman"/>
          <w:caps w:val="false"/>
          <w:smallCaps w:val="false"/>
          <w:sz w:val="20"/>
          <w:shd w:fill="FFFFFF" w:val="clear"/>
        </w:rPr>
        <w:t>ERLYNX of $</w:t>
      </w:r>
      <w:r>
        <w:rPr>
          <w:rFonts w:ascii="Times New Roman" w:hAnsi="Times New Roman"/>
          <w:caps w:val="false"/>
          <w:smallCaps w:val="false"/>
          <w:sz w:val="20"/>
        </w:rPr>
        <w:t xml:space="preserve">228.4 </w:t>
      </w:r>
      <w:r>
        <w:rPr>
          <w:rFonts w:ascii="Times New Roman" w:hAnsi="Times New Roman"/>
          <w:caps w:val="false"/>
          <w:smallCaps w:val="false"/>
          <w:sz w:val="20"/>
          <w:shd w:fill="FFFFFF" w:val="clear"/>
        </w:rPr>
        <w:t>million, $</w:t>
      </w:r>
      <w:r>
        <w:rPr>
          <w:rFonts w:ascii="Times New Roman" w:hAnsi="Times New Roman"/>
          <w:caps w:val="false"/>
          <w:smallCaps w:val="false"/>
          <w:sz w:val="20"/>
        </w:rPr>
        <w:t xml:space="preserve">230.5 </w:t>
      </w:r>
      <w:r>
        <w:rPr>
          <w:rFonts w:ascii="Times New Roman" w:hAnsi="Times New Roman"/>
          <w:caps w:val="false"/>
          <w:smallCaps w:val="false"/>
          <w:sz w:val="20"/>
          <w:shd w:fill="FFFFFF" w:val="clear"/>
        </w:rPr>
        <w:t>million and $</w:t>
      </w:r>
      <w:r>
        <w:rPr>
          <w:rFonts w:ascii="Times New Roman" w:hAnsi="Times New Roman"/>
          <w:caps w:val="false"/>
          <w:smallCaps w:val="false"/>
          <w:sz w:val="20"/>
        </w:rPr>
        <w:t xml:space="preserve">235.6 </w:t>
      </w:r>
      <w:r>
        <w:rPr>
          <w:rFonts w:ascii="Times New Roman" w:hAnsi="Times New Roman"/>
          <w:caps w:val="false"/>
          <w:smallCaps w:val="false"/>
          <w:sz w:val="20"/>
          <w:shd w:fill="FFFFFF" w:val="clear"/>
        </w:rPr>
        <w:t>million for the years ended December 31, 2025, 2024 and 2023, respective</w:t>
      </w:r>
      <w:r>
        <w:rPr>
          <w:rFonts w:ascii="Times New Roman" w:hAnsi="Times New Roman"/>
          <w:caps w:val="false"/>
          <w:smallCaps w:val="false"/>
          <w:sz w:val="20"/>
        </w:rPr>
        <w:t>ly. We cannot assure you that the sales of NERLYNX will continue at these levels or grow. We may encounter delays or hurdles related to our sales efforts that affect amount of revenue generated and the timing of such revenue. There is no guarantee that the infrastructure, systems, processes, policies, personnel, relationships and materials we have built to commercialize NERLYNX in the United States will be sufficient for us to achieve success at the levels we expect.</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NERLYNX commercialization efforts may fail to gain sufficient market acceptance by physicians, patients, third-party payors and others in the medical community. If NERLYNX does not achieve an adequate level of acceptance, we may not generate significant product revenue and we may not maintain profitability. The degree of market acceptance of NERLYNX and will depend 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10"/>
        <w:gridCol w:w="5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our receipt of any additional marketing approvals;</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10"/>
        <w:gridCol w:w="6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any approvals and the countries in which approvals are obtained;</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10"/>
        <w:gridCol w:w="8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and safety and potential advantages and disadvantages compared to alternative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10"/>
        <w:gridCol w:w="6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prevalence and severity of any side effects associated with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10"/>
        <w:gridCol w:w="51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additional indications for which our products are approved;</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10"/>
        <w:gridCol w:w="70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 about our products or favorable publicity about competing products;</w:t>
            </w:r>
          </w:p>
        </w:tc>
      </w:tr>
    </w:tbl>
    <w:p>
      <w:pPr>
        <w:pStyle w:val="TextBody"/>
        <w:bidi w:val="0"/>
        <w:spacing w:before="0" w:after="0"/>
        <w:ind w:left="0" w:right="0" w:hanging="0"/>
        <w:jc w:val="left"/>
        <w:rPr/>
      </w:pPr>
      <w:r>
        <w:rPr/>
        <w:t> </w:t>
      </w:r>
    </w:p>
    <w:tbl>
      <w:tblPr>
        <w:tblW w:w="5950" w:type="dxa"/>
        <w:jc w:val="left"/>
        <w:tblInd w:w="0" w:type="dxa"/>
        <w:tblLayout w:type="fixed"/>
        <w:tblCellMar>
          <w:top w:w="0" w:type="dxa"/>
          <w:left w:w="0" w:type="dxa"/>
          <w:bottom w:w="0" w:type="dxa"/>
          <w:right w:w="0" w:type="dxa"/>
        </w:tblCellMar>
      </w:tblPr>
      <w:tblGrid>
        <w:gridCol w:w="60"/>
        <w:gridCol w:w="110"/>
        <w:gridCol w:w="5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of other products for the same indications as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10"/>
        <w:gridCol w:w="5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offer our products for sale at competitive prices;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convenience and ease of administration compared to alternative treatments;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400" w:type="dxa"/>
        <w:jc w:val="left"/>
        <w:tblInd w:w="0" w:type="dxa"/>
        <w:tblLayout w:type="fixed"/>
        <w:tblCellMar>
          <w:top w:w="0" w:type="dxa"/>
          <w:left w:w="0" w:type="dxa"/>
          <w:bottom w:w="0" w:type="dxa"/>
          <w:right w:w="0" w:type="dxa"/>
        </w:tblCellMar>
      </w:tblPr>
      <w:tblGrid>
        <w:gridCol w:w="60"/>
        <w:gridCol w:w="110"/>
        <w:gridCol w:w="9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10"/>
        <w:gridCol w:w="3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our physician education programs;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10"/>
        <w:gridCol w:w="44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strength of our marketing and distribution support;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third-party coverage and adequate reimbursement, including patient cost-sharing programs such as copays and deductibles; and</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0"/>
        <w:gridCol w:w="110"/>
        <w:gridCol w:w="60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restrictions on the use of our products together with other medications.</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NERLYNX fails to achieve market acceptance, it could have a material and adverse effect on our business, financial condition, results of operation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depend on a limited number of customers for a significant amount of our total revenue, and if we lose any of our significant customers, our business could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majority of our revenue comes from a limited number of customers. In 2025</w:t>
      </w:r>
      <w:r>
        <w:rPr>
          <w:rFonts w:ascii="Times New Roman" w:hAnsi="Times New Roman"/>
          <w:caps w:val="false"/>
          <w:smallCaps w:val="false"/>
          <w:sz w:val="20"/>
          <w:shd w:fill="FFFFFF" w:val="clear"/>
        </w:rPr>
        <w:t>, five customers individually comprised approximately 27.3%, 17.0%, 16.4%, 13.1% and 10.6%, respect</w:t>
      </w:r>
      <w:r>
        <w:rPr>
          <w:rFonts w:ascii="Times New Roman" w:hAnsi="Times New Roman"/>
          <w:caps w:val="false"/>
          <w:smallCaps w:val="false"/>
          <w:sz w:val="20"/>
        </w:rPr>
        <w:t>ively, of our total product revenue. We expect that revenue from a limited number of customers will continue to account for a large portion of our revenue in the future. The loss by us of any of these customers, or a material reduction in their purchases or their market pricing, could harm our business, results of operations, financial condition and prospects. In addition, if any of these customers were to fail to pay us in a timely manner, it could harm our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Outside the United States we rely primarily on third-parties to pursue regulatory approval, if necessary, and to commercialize NERLYNX and they may not commit sufficient time or resources to marketing NERLYNX.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Outside the United States, we seek to enter into exclusive sub-license agreements with third parties to pursue regulatory approval, if necessary, and commercialize NERLYNX, if approved. As of December 31, 2025, NERLYNX has received approval for the treatment of certain patients with extended adjuvant and/or metastatic HER2-positive breast cancer in more th</w:t>
      </w:r>
      <w:r>
        <w:rPr>
          <w:rFonts w:ascii="Times New Roman" w:hAnsi="Times New Roman"/>
          <w:caps w:val="false"/>
          <w:smallCaps w:val="false"/>
          <w:sz w:val="20"/>
          <w:shd w:fill="FFFFFF" w:val="clear"/>
        </w:rPr>
        <w:t>an 40 count</w:t>
      </w:r>
      <w:r>
        <w:rPr>
          <w:rFonts w:ascii="Times New Roman" w:hAnsi="Times New Roman"/>
          <w:caps w:val="false"/>
          <w:smallCaps w:val="false"/>
          <w:sz w:val="20"/>
        </w:rPr>
        <w:t>ries outside the United States, including the EU, Australia, Canada, and Hong Kong. We are currently party to several sub-licenses in various regions outside the United States, including Europe (excluding Ukraine), Australia, Canada, China, Southeast Asia, Israel, South Korea, Russia and various countries and territories in Central America, South America, Africa and the Middle East. We depend on these third parties for a significant portion of our total revenue. Royalty revenue obtained pursuant to these sub-license</w:t>
      </w:r>
      <w:r>
        <w:rPr>
          <w:rFonts w:ascii="Times New Roman" w:hAnsi="Times New Roman"/>
          <w:caps w:val="false"/>
          <w:smallCaps w:val="false"/>
          <w:sz w:val="20"/>
          <w:shd w:fill="FFFFFF" w:val="clear"/>
        </w:rPr>
        <w:t xml:space="preserve"> agreements was </w:t>
      </w:r>
      <w:r>
        <w:rPr>
          <w:rFonts w:ascii="Times New Roman" w:hAnsi="Times New Roman"/>
          <w:caps w:val="false"/>
          <w:smallCaps w:val="false"/>
          <w:sz w:val="20"/>
        </w:rPr>
        <w:t>11%</w:t>
      </w:r>
      <w:r>
        <w:rPr>
          <w:rFonts w:ascii="Times New Roman" w:hAnsi="Times New Roman"/>
          <w:caps w:val="false"/>
          <w:smallCaps w:val="false"/>
          <w:sz w:val="20"/>
          <w:shd w:fill="FFFFFF" w:val="clear"/>
        </w:rPr>
        <w:t> and </w:t>
      </w:r>
      <w:r>
        <w:rPr>
          <w:rFonts w:ascii="Times New Roman" w:hAnsi="Times New Roman"/>
          <w:caps w:val="false"/>
          <w:smallCaps w:val="false"/>
          <w:sz w:val="20"/>
        </w:rPr>
        <w:t>15%</w:t>
      </w:r>
      <w:r>
        <w:rPr>
          <w:rFonts w:ascii="Times New Roman" w:hAnsi="Times New Roman"/>
          <w:caps w:val="false"/>
          <w:smallCaps w:val="false"/>
          <w:sz w:val="20"/>
          <w:shd w:fill="FFFFFF" w:val="clear"/>
        </w:rPr>
        <w:t xml:space="preserve"> of total revenue for the years ended </w:t>
      </w:r>
      <w:r>
        <w:rPr>
          <w:rFonts w:ascii="Times New Roman" w:hAnsi="Times New Roman"/>
          <w:caps w:val="false"/>
          <w:smallCaps w:val="false"/>
          <w:sz w:val="20"/>
        </w:rPr>
        <w:t>December 31, 2025 and 2024</w:t>
      </w:r>
      <w:r>
        <w:rPr>
          <w:rFonts w:ascii="Times New Roman" w:hAnsi="Times New Roman"/>
          <w:caps w:val="false"/>
          <w:smallCaps w:val="false"/>
          <w:sz w:val="20"/>
          <w:shd w:fill="FFFFFF" w:val="clear"/>
        </w:rPr>
        <w:t>, respectively. We h</w:t>
      </w:r>
      <w:r>
        <w:rPr>
          <w:rFonts w:ascii="Times New Roman" w:hAnsi="Times New Roman"/>
          <w:caps w:val="false"/>
          <w:smallCaps w:val="false"/>
          <w:sz w:val="20"/>
        </w:rPr>
        <w:t>ave very little control over these third-parties and any of our existing or future licensees may fail to devote the necessary resources and attention to obtain regulatory approval, where needed, and to market and distribute NERLYNX effectively. If these licensees are unsuccessful in receiving regulatory approvals or in commercializing NERLYNX, our business, results of operations and financial condition will be materially adversely affected. Moreover, we intend to seek additional third parties to sub-license NERLYNX in additional geographies, and may pursue a similar strategy for any future drug candidates that we develop. We cannot assure you that we will be able to enter these agreements on commercial terms, or at all, and our failure to do so would have an adverse effect on our continued commercialization efforts for NERLYNX or any future drug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Even though the FDA and EC have granted approval of NERLYNX for the extended adjuvant treatment of certain patients with early stage, HER2-positive breast cancer and the FDA has granted approval for NERLYNX for the treatment of certain patients with metastatic HER2-positive breast cancer, the terms of the approvals may limit its commercial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Even though the FDA and EC have granted approval of NERLYNX, the scope and terms of the approvals may limit our ability to commercialize NERLYNX and, therefore, our ability to generate substantial sales revenue. The FDA and EC have both approved NERLYNX for the extended adjuvant treatment of certain adult patients with early stage, HER2-positive breast cancer in patients who are less than one year from the completion of prior adjuvant trastuzumab-based therapy. In connection with the FDA and EC approvals, we have committed to conduct certain post-marketing studies. We have completed the post-marketing commitments related to the FDA approval, and the post-marketing studies related to the EC approval are ongoing. If we fail to comply with all of our post-marketing commitments, or if the results of the post-marketing studies, or any other ongoing clinical studies of neratinib, are negative, the FDA or the EC could decide to withdraw its respective approval, add warnings or narrow the approved indication in the product label.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Regulatory approval for any approved product is limited by the FDA and foreign regulatory authorities to those specific indications and conditions for which clinical safety and efficacy have been demonstrated as set forth on the product label. If we market our products for uses beyond such approved indications, we could be subject to enforcement action,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FDA and foreign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foreign regulatory authorities grant is limited to those specific diseases and indications for which a product is deemed to be safe and effective by the FDA and foreign regulatory authorities. For example, the FDA-approved label for NERLYNX is limited to the extended adjuvant treatment of adult patients with early stage, HER2-positive breast cancer following adjuvant trastuzumab-based therapy, and in combination with capecitabine, to the treatment of adult patients with advanced or metastatic HER2-positive breast cancer who have received two or more prior anti-HER2 based regimens in the metastatic setting. In addition to the FDA or foreign regulatory authorities approval required for new formulations, any new indication for an approved product also requires FDA or foreign regulatory authorities' approval. If we are not able to obtain FDA approval for any desired future indications for our drugs and drug candidates, our ability to effectively market and sell our products may be reduced and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While physicians in the United States and outside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or foreign regulatory authorities. These “off-label” uses are common across medical specialties and may constitute an appropriate treatment for some patients in varied circumstances. For example, in April 2018, we announced that NERLYNX (neratinib) has been included as a recommended treatment option in the latest NCCN Clinical Practice Guidelines in Oncology Central Nervous System Cancers for Breast Cancer patients with brain metastases. The NCCN designated NERLYNX in combination with capecitabine as a category 2A treatment option and NERLYNX in combination with paclitaxel as a category 2B treatment option. In addition, in December 2024, we announced that NCCN Clinical Practice Guidelines in Oncology for Cervical Cancer were updated to include an addition involving neratinib. The updated NCCN Practice Guidelines for Cervical Cancer include neratinib monotherapy for use as second-line or subsequent therapy for recurrent or metastatic disease as an option for patients with HER2-mutated tumors with a designation of category 2A. The NCCN Guidelines Category of Preference is designated as “useful in certain circumstances” as a treatment option for patients with HER2-mutated tumors. Use, as designated for breast cancer patients with brain metastases and in Cervical Cancer, is outside the FDA approved indication for NERLYNX and considered investigational, and we do not market or promote NERLYNX for these uses.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Regulatory authorities in the United States and outside the United States generally do not regulate the behavior of physicians in their choice of treatments. Regulatory authorities do, however, restrict communications by pharmaceutical companies on the subject of off-label use. Although court decisions in the United States have suggested that certain off-label promotional activities may be protected under the First Amendment, the scope of any such protection is unclear. If our promotional activities fail to comply with the FDA’s or other regulatory authorities’ regulations or guidelines, we may be subject to warnings from, or enforcement action by, these authorities. In addition, our failure to follow FDA or other regulatory authorities rules and guidelines relating to promotion and advertising may cause the FDA or other regulatory authorities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fail to obtain orphan drug designations from the FDA for our drug candidates, and even if we obtain such designations, we may be unable to maintain the benefits associated with orphan drug designation, including the potential for market exclusivity.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Regulatory authorities in some jurisdictions, including the U.S., may designate drugs designed to address relatively small patient populations as “orphan drugs.” Under the Orphan Drug Act, the FDA may grant orphan drug designation to a drug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U.S., orphan designation entitles a party to financial incentives such as opportunities for grant funding for clinical trial costs, tax advantages and user-fee waivers. In addition, if a drug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drug for the same approved indication or use within the same rare disease or condition for seven years, except in limited circumstances, such as a showing of clinical superiority to the product with orphan drug exclusivity in the relevant indication or use or where the manufacturer is unable to assure sufficient product quantity.</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decide to seek Orphan Drug Designations for alisertib. There can be no assurances that we will be able to obtain such designations. Even if we, or any future collaborators, obtain orphan drug designation for a drug candidate, we, or they, may not be able to obtain or maintain orphan drug exclusivity for that drug candidate. Further, even if we, or any future collaborators, obtain orphan drug exclusivity for a product, that exclusivity may not effectively protect the product from competition because different drugs with different active ingredients may be approved for the same indication or use within the same rare disease or condition. Even after an orphan drug is approved, the FDA can subsequently approve the same drug for the same disease or condition if the FDA concludes that the later drug is clinically superior in the relevant indication, in that it is shown to be safer, more effective or makes a major contribution to patient care, or the manufacturer of the product with orphan exclusivity is unable to maintain sufficient product quantity to meet the needs of the approved indication or use for the patients with the relevant disease or condition. Orphan drug designation neither shortens the development or regulatory review time of a drug nor gives the drug any advantage in the regulatory review or approval process.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Health care reform measures may hinder or prevent our products</w:t>
      </w:r>
      <w:r>
        <w:rPr>
          <w:rFonts w:ascii="Times New Roman" w:hAnsi="Times New Roman"/>
          <w:caps w:val="false"/>
          <w:smallCaps w:val="false"/>
          <w:sz w:val="20"/>
        </w:rPr>
        <w:t xml:space="preserve">’ </w:t>
      </w:r>
      <w:r>
        <w:rPr>
          <w:rFonts w:ascii="Times New Roman" w:hAnsi="Times New Roman"/>
          <w:b/>
          <w:i/>
          <w:caps w:val="false"/>
          <w:smallCaps w:val="false"/>
          <w:sz w:val="20"/>
        </w:rPr>
        <w:t>and drug candidates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commercial success.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United States and some foreign jurisdictions have enacted or are considering enacting a number of legislative and regulatory proposals to change the healthcare system in ways that could affect our ability to profitably sell our product and drug candidates, if and when they are approved.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In March 2010, the ACA became law in the U</w:t>
      </w:r>
      <w:r>
        <w:rPr>
          <w:rFonts w:ascii="Times New Roman" w:hAnsi="Times New Roman"/>
          <w:caps w:val="false"/>
          <w:smallCaps w:val="false"/>
          <w:sz w:val="20"/>
        </w:rPr>
        <w:t>nited States. The ACA substantially changed the way healthcare is financed by both governmental and private insurers and significantly affects the pharmaceutical industry. Among other provisions, the ACA included an annual, nondeductible fee on any entity that manufactures or imports certain branded prescription drugs and biologic agents and a new formula that increases the rebates a manufacturer must pay under the Medicaid Drug Rebate Program.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other legislative changes have been proposed and adopted in the United States since the ACA was enacted. For example, the Budget Control Act of 2011, among other things, led to reductions to Medicare payments to providers that will remain in effect through 2032. The American Taxpayer Relief Act of 2012, among other things, also reduced Medicare payments to several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average manufacturer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(which began in 2025). The Centers for Medicare &amp; Medicaid Services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will be $2,000 beginning in 2025). The IRA allows the 10 and 20 percent discounts to be phased in over time for certain drugs for manufacturers that CMS deems to meet specific criteria. In April 2024, CMS informed us that we are deemed a specified small manufacturer, and as a result, the discounts will be phased in over several years and will increase over time. We are continuing to evaluate the potential impact of this status on our future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NERLYNX is reimbursed under Medicare Part D, and the reimbursement amount will be impacted by the 10 and 20 percent discounts under the IRA’s new discounting program (as noted above). We anticipate that these increased discounts will impact NERLYNX revenues over time, while also having an industry-wide impact on the cost of Part D drugs. The impact on NERLYNX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IRA manufacturer discount program also increases financial obligations of Part D prescription drug plans with respect to beneficiaries in the catastrophic coverage phase. This may incentivize Part D prescription drug plans to seek greater price concessions from us in order to include NERLYNX on their formularies.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NERLYNX and any other product candidate that we commercialize.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our products.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the cost of prescription pharmaceuticals in the United States has also been the subject of considerable discussion.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Moreover,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In addition,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anticipate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 could seriously harm our business.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and drug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EU, similar political, economic and regulatory developments may affect our ability to profitably commercialize NERLYNX and our other drug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our ability to commercialize NERLYNX and our other drug candidates, if approved. In other international markets outside the United States and the EU, reimbursement and healthcare payment systems vary significantly by country, and many countries have instituted price ceilings on specific products and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cannot predict the likelihood, nature or extent of government regulation that may arise from future legislation or administrative action, either in the United States or outside the United States. If we or our collaborators are slow or unable to adapt to changes in existing requirements or the adoption of new requirements or policies, or if we or our collaborators are not able to maintain regulatory compliance, NERLYNX or any future approved product may lose any regulatory approval that may have been obtained and we may not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obtain or maintain adequate coverage and reimbursement for our products or drug candidates, if approved, could limit our ability to market those products and decrease our ability to generate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Successful commercial sales of any approved products will depend on the availability of adequate coverage and reimbursement from government health administration authorities, private health insurers and other third-party payors. Each third-party payor separately decides which products it will cover and establishes the reimbursement level, and there is no guarantee that any of our approved products or drug candidates that may be approved for marketing by regulatory authorities will receive adequate coverage or reimbursement levels. Obtaining and maintaining coverage approval for a product is time-consuming, costly and may be difficult. We may be required to conduct expensive pharmacoeconomic studies to justify coverage and reimbursement or the level of coverage and reimbursement relative to other therapies. If coverage and adequate reimbursement are not available or limited, we may not be able to successfully commercialize any product or drug candidate for which we obtain marketing approval.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and biologics. Even if we obtain coverage for a given product, the resulting reimbursement rates may be inadequate and may affect the demand for, or the price of, any drug candidate for which we obtain marketing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expect to experience pricing pressures in connection with the sale of our current or future commercial products, due to the trend toward managed healthcare, the increasing influence of health maintenance organizations and additional legislative proposals. There may be additional pressure by payors and healthcare providers to use generic drugs that contain the active ingredients found in neratinib or any other drug candidates that we may develop. If we fail to successfully secure and maintain adequate coverage and reimbursement for our products or are significantly delayed in doing so, we will have difficulty achieving market acceptance of our products and expected revenue and profitability which would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federal, state and foreign</w:t>
      </w:r>
      <w:r>
        <w:rPr>
          <w:rFonts w:ascii="Times New Roman" w:hAnsi="Times New Roman"/>
          <w:caps w:val="false"/>
          <w:smallCaps w:val="false"/>
          <w:sz w:val="20"/>
        </w:rPr>
        <w:t> </w:t>
      </w:r>
      <w:r>
        <w:rPr>
          <w:rFonts w:ascii="Times New Roman" w:hAnsi="Times New Roman"/>
          <w:b/>
          <w:i/>
          <w:caps w:val="false"/>
          <w:smallCaps w:val="false"/>
          <w:sz w:val="20"/>
        </w:rPr>
        <w:t>healthcare fraud and abuse laws, false claims laws and physician payment transparency laws. Failure to comply with these laws may subject us to substantial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do not and will not control referrals of healthcare services or bill directly to Medicare, Medicaid or other third-party payors. However, federal, state and foreign healthcare laws and regulations pertaining to fraud and abuse and physician payment transparency laws and regulations apply to us depending on programs we operate and have been asserted by the government and others to apply to companies like us, and our arrangements with healthcare providers, customers and other entities, including our marketing practices, educational programs and pricing policies. These laws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which prohibits, among other things, persons or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false claims laws, including, without limitation, the False Claims Act, which prohibit, among other things, individuals or entities from knowingly presenting, or causing to be presented, claims for payment from Medicare, Medicaid or other federal third-party payors that are false or fraudulent, such as engaging in improper promotion of products or submitting inaccurate price reports to the Medicaid Drug Rebate program. In addition, the government may assert that a claim including items or services resulting from a violation of the federal Anti-Kickback Statute constitutes a false or fraudulent claim for purposes of the False Claims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Physician Payment Sunshine Act,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(nurse practitioners, certified nurse anesthetists, physician assistants, clinical nurse specialists, anesthesiology assistants and certified nurse midwives), and teaching hospitals, and requires applicable manufacturers and group purchasing organizations to report annually to CMS ownership and investment interests held by the physicians described above and their immediate family members and payments or other “transfers of value” to such physician owners (manufacturers are required to submit reports to CMS by the 90th day of each calendar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equivalents of each of the above federal laws, such as anti-kickback and false claims laws which may apply to sales or marketing arrangements and claims involving healthcare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European and other foreign law equivalents of each of these laws, including reporting requirements detailing interactions with and payments to healthcare providers.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Because of the breadth of these laws and the narrowness of the statutory exceptions and safe harbors available under such laws, it is possible that some of our business activities, including our relationships with physicians and other healthcare providers, some of whom recommend, purchase and/or prescribe our products, and the manner in which we promote our products, could be subject to challenge under one or more of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also exposed to the risk that our employees, independent contractors, principal investigators, consultants, vendors, distributors and agents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or foreign regulatory authority requirements, including those laws that require the reporting of true, complete and accurate information to the FDA or foreign regulatory authorities,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our operations are found to violate any of the laws described above or any other laws and regulations that apply to us, we may be subject to penalties, including civil and criminal penalties, damages, fines, disgorgement, the curtailment or restructuring of our operations, the exclusion from participation in federal and state healthcare programs and imprisonment of officers involved, any of which could adversely affect our ability to market our current and any future products, once approved,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participate in the Medicaid Drug Rebate Program (“MDRP”)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including NERLYNX, that are dispensed to beneficiaries of these programs. As a condition of having federal funds being made available for our covered outpatient drugs under Medicaid and Medicare Part B, we have enrolled in the MDRP, which requires us to pay a rebate to state Medicaid programs for each unit of our covered outpatient drugs dispensed to a Medicaid beneficiary and paid for by a state Medicaid program. Medicaid drug rebates are based on pricing data that we must report on a monthly and quarterly basis to the CMS, the federal agency that administers the MDRP and Medicare programs. For the MDRP, these data include the average manufacturer price (“AMP”) for each drug and, in the case of our innovator products, the best price.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could result in allegations against us under the Federal False Claims Act and other laws and regulations.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Federal law requires that a manufacturer that participates in the MDRP also participate in the Public Health Service’s 340B drug pricing program (the “340B program”) in order for federal funds to be available for the manufacturer’s drugs under Medicaid and Medicare Part B. We participate in the 340B program, which is administered by the Health Resources and Services Administration (“HRSA”) and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Pursuant to the IRA, the AMP figures we report to the MDRP will also be used to compute rebates under Medicare Part D triggered by price increases that outpace inflation.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our covered outpatient drugs. We cannot assure you that our submissions will not be found to be incomplete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dependent on international third-party sub-licensees for the development and commercialization of NERLYNX in several countries outside the United States. The failure of these sub-licensees to meet their contractual, regulatory or other obligations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entered into exclusive sub-license agreements with several third parties that provide these sub-licensees exclusive rights to the development and commercialization of NERLYNX in Europe (excluding Ukraine), Australia, Canada, China, Southeast Asia, Israel, South Korea, Russia and various countries and territories in Central America, South America, Africa and the Middle East. As a result, we are entirely dependent on these parties to achieve regulatory approval of NERLYNX for marketing in these countries and for the commercialization of NERLYNX, if approved. For the years ended December 31, 2025, 2024 and 2023, royalty revenue f</w:t>
      </w:r>
      <w:r>
        <w:rPr>
          <w:rFonts w:ascii="Times New Roman" w:hAnsi="Times New Roman"/>
          <w:caps w:val="false"/>
          <w:smallCaps w:val="false"/>
          <w:sz w:val="20"/>
          <w:shd w:fill="FFFFFF" w:val="clear"/>
        </w:rPr>
        <w:t xml:space="preserve">rom these sub-licensees was </w:t>
      </w:r>
      <w:r>
        <w:rPr>
          <w:rFonts w:ascii="Times New Roman" w:hAnsi="Times New Roman"/>
          <w:caps w:val="false"/>
          <w:smallCaps w:val="false"/>
          <w:sz w:val="20"/>
        </w:rPr>
        <w:t>$24.3</w:t>
      </w:r>
      <w:r>
        <w:rPr>
          <w:rFonts w:ascii="Times New Roman" w:hAnsi="Times New Roman"/>
          <w:caps w:val="false"/>
          <w:smallCaps w:val="false"/>
          <w:sz w:val="20"/>
          <w:shd w:fill="FFFFFF" w:val="clear"/>
        </w:rPr>
        <w:t> million, </w:t>
      </w:r>
      <w:r>
        <w:rPr>
          <w:rFonts w:ascii="Times New Roman" w:hAnsi="Times New Roman"/>
          <w:caps w:val="false"/>
          <w:smallCaps w:val="false"/>
          <w:sz w:val="20"/>
        </w:rPr>
        <w:t>$35.3</w:t>
      </w:r>
      <w:r>
        <w:rPr>
          <w:rFonts w:ascii="Times New Roman" w:hAnsi="Times New Roman"/>
          <w:caps w:val="false"/>
          <w:smallCaps w:val="false"/>
          <w:sz w:val="20"/>
          <w:shd w:fill="FFFFFF" w:val="clear"/>
        </w:rPr>
        <w:t xml:space="preserve"> million and $32.5 million, respectively, and represented </w:t>
      </w:r>
      <w:r>
        <w:rPr>
          <w:rFonts w:ascii="Times New Roman" w:hAnsi="Times New Roman"/>
          <w:caps w:val="false"/>
          <w:smallCaps w:val="false"/>
          <w:sz w:val="20"/>
        </w:rPr>
        <w:t>11%</w:t>
      </w:r>
      <w:r>
        <w:rPr>
          <w:rFonts w:ascii="Times New Roman" w:hAnsi="Times New Roman"/>
          <w:caps w:val="false"/>
          <w:smallCaps w:val="false"/>
          <w:sz w:val="20"/>
          <w:shd w:fill="FFFFFF" w:val="clear"/>
        </w:rPr>
        <w:t>, </w:t>
      </w:r>
      <w:r>
        <w:rPr>
          <w:rFonts w:ascii="Times New Roman" w:hAnsi="Times New Roman"/>
          <w:caps w:val="false"/>
          <w:smallCaps w:val="false"/>
          <w:sz w:val="20"/>
        </w:rPr>
        <w:t>15%</w:t>
      </w:r>
      <w:r>
        <w:rPr>
          <w:rFonts w:ascii="Times New Roman" w:hAnsi="Times New Roman"/>
          <w:caps w:val="false"/>
          <w:smallCaps w:val="false"/>
          <w:sz w:val="20"/>
          <w:shd w:fill="FFFFFF" w:val="clear"/>
        </w:rPr>
        <w:t> and 14% of total revenue, respectively. The</w:t>
      </w:r>
      <w:r>
        <w:rPr>
          <w:rFonts w:ascii="Times New Roman" w:hAnsi="Times New Roman"/>
          <w:caps w:val="false"/>
          <w:smallCaps w:val="false"/>
          <w:sz w:val="20"/>
        </w:rPr>
        <w:t xml:space="preserve"> timing and amount of any milestone and royalty payments we may receive under these agreements, as well as the commercial success of NERLYNX in those regions outside of the United States, will depend on, among other things, the efforts, allocation of resources and successful commercialization of NERLYNX by the licensees. We also depend on these third parties to comply with all applicable laws relative to the development and commercialization of our products in those countries. We do not control the individual efforts of these licensees and have limited ability to terminate these agreements if the licensees do not perform as anticipated. The failure of these licensees to devote sufficient time and effort to the development and commercialization of NERLYNX; to meet their obligations to us, including for future royalty and milestone payments; to adequately deploy business continuity plans in the event of a crisis; and/or to satisfactorily resolve significant disagreements with us or address other factors could have an adverse impact on our financial results and operations. In addition, if these third parties violate, or are alleged to have violated, any laws or regulations during the performance of their obligations for us, it is possible that we could suffer financial and reputational harm or other negative outcomes, including possible legal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Any termination, breach or expiration of any of these sub-license agreements could have a material adverse effect on our financial position by reducing or eliminating the potential for us to receive license fees, milestones and royalties. In such an event, we may be required to devote additional efforts and to incur additional costs associated with pursuing regulatory approval and commercialization of the applicable products and drug candidates. Alternatively, we may attempt to identify and transact with a new sub-licensee, but there can be no assurance that we would be able to identify a suitable sub-licensee or transact on terms that are favorable to 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no experience in drug formulation or manufacturing and rely exclusively on third parties to formulate and manufacture NERLYNX, alisertib and our other drug candidates, and any disruption or loss of these relationships could delay our development and commercialization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no experience in drug formulation or manufacturing and do not intend to establish our own manufacturing facilities. We lack the resources and expertise to formulate or manufacture NERLYNX, alisertib and other potential drug candidates. While our drug candidates were developed by Pfizer and Takeda, both the drug substance and drug product are manufactured by third-party contractors. We are using the same third-party contractors to manufacture, supply, store and distribute drug supplies for our clinical trials and the commercialization of NERLYNX and we plan to use third-party contractors to manufacture, supply, store and distribute drug supplies for our clinical trials of alisertib. If we are unable to continue our relationships with one or more of these third-party contractors, we could experience delays in our development or commercialization efforts as we locate and qualify new manufacturers. We intend to rely on one or more third-party contractors to manufacture the commercial supply of our drugs. Our anticipated future reliance on a limited number of third-party manufacturers exposes us to the following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We may be unable to identify manufacturers on acceptable terms or at all because the number of potential manufacturers is limited, and the FDA or foreign regulatory authorities must approve any replacement manufacturer with respect to NERLYNX and any other approved products. This approval would require new testing and compliance inspections. In addition, a new manufacturer would have to be educated in, or develop substantially equivalent processes for, production of our products after receipt of FDA or comparable foreign regulatory authority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Our third-party manufacturers might be unable to formulate and manufacture our products and drug candidates in the volume and of the quality required to meet our clinical and/or commercial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contract manufacturers may not perform as agreed or may not remain in the contract manufacturing business for the time required to supply our clinical trials or to successfully produce, store and distribute our products for commercialization,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facilities used by our contract manufacturers to manufacture NERLYNX, alisertib and our other drug candidates must be approved for the manufacture of such products or candidates by the FDA or foreign regulatory authorities pursuant to inspections that are conducted following submission of an NDA to the FDA or pursuant to similar foreign applications to foreign regulatory authorities. We do not control the manufacturing process of, and are completely dependent on, our contract manufacturing partners for compliance with cGMP or similar foreign regulations for manufacture of both active drug substances and finished drug products.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drug manufacturers are subject to ongoing periodic unannounced inspection by the FDA and similar non-U.S. regulatory agencies and corresponding state agencies to ensure strict compliance with cGMP regulations and other government regulations and corresponding foreign standards.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alisertib and our other drug candidates, if approved, or market NERLYNX.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any third-party manufacturer makes improvements in the manufacturing process for our products, we may not own, or may have to share, the intellectual property rights to the innovation.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Each of these risks could delay our clinical trials, the approval, if any, of alisertib or our other drug candidates by the FDA or comparable foreign regulatory authorities or the commercialization of NERLYNX or result in higher costs or deprive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third-party manufacturers fail to manufacture NERLYNX in sufficient quantities and at acceptable quality and pricing levels, or fail to fully comply with cGMP or similar foreign regulations, we may face delays in commercialization or be unable to meet market demand, and may lose potential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manufacture of NERLYNX requires significant expertise and capital investment, including the development of advanced manufacturing techniques, process controls and the use of specialized processing equipment. Our third-party manufacturers must comply with federal, state and foreign regulations, including the FDA’s regulations governing cGMP and similar requirements outside the United States, enforced by the FDA through its facilities inspection program and by similar foreign regulatory authorities in other jurisdictions where we do business. These requirements include, among other things, quality control, quality assurance and the maintenance of records and documentation. The FDA or similar foreign regulatory authorities at any time may implement new standards or change their interpretation and enforcement of existing standards for manufacture, packaging or testing of our products. Any failure by us or our third-party manufacturers to comply with applicable regulations may result in fines and civil penalties, suspension of production, product seizure or recall, operating restrictions, imposition of a consent decree, modification or withdrawal of product approval or criminal prosecution and would limit the availability of our product. Any manufacturing defect or error discovered after products have been produced and distributed also could result in significant consequences, including costly recall procedures, re-stocking costs, damage to our reputation and potential for product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our third-party manufacturers are unable to produce the required commercial quantities of NERLYNX to meet market demand for NERLYNX on a timely basis or at all, or if they fail to comply with applicable laws for the manufacturing of NERLYNX, we will suffer damage to our reputation and commercial prospects and we will lose potential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our pre-clinical studies and clinical trials. If these third parties do not successfully carry out their contractual duties or meet expected deadlines, we may not be able to obtain regulatory approval for our drug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depend upon independent investigators and collaborators, such as CROs, universities and medical institutions, to conduct our pre-clinical studies and clinical trials, including those involving neratinib and alisertib, under agreements with us. These collaborators are not our employees, and we cannot control the amount or timing of resources that they devote to our programs. Nevertheless, we are responsible for ensuring that each of our clinical trials is conducted in accordance with regulatory requirements, including GCP requirements, and the applicable protocol. If we, or any of our CROs or third party contractors,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current cGMP or similar foreign regulations. Our failure to comply with these regulations may require us to repeat clinical trials, which would cause us to incur additional costs and delay the regulatory approval process. Moreover, third party contractors and investigators may not assign as great a priority to our programs or pursue them as diligently as we would if we were undertaking such programs ourselves. If outside collaborators fail to devote sufficient time and resources to our drug-development programs, or if their performance is substandard or otherwise fails to satisfy applicable regulatory requirements, the approval of our FDA or foreign applications, if any, and our introduction of new drugs, if any, will be delayed. These collaborators may also have relationships with other commercial entities, some of whom may compete with us. If our collaborators assist our competitors to our detriment, our competitive position would be harmed. If any of our relationships with these third-party collaborators terminate, we may not be able to enter into arrangements with alternative third parties on commercially reasonable terms, or at all. Switching or adding additional third parties to our clinical trial programs can involve substantial costs and require extensive management time and focus.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Engaging in international business subjects us to additional business and regulatory risks, and there can be no assurance that our products will be accepted in those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entered into exclusive sub-license agreements providing for third parties to pursue regulatory approval and commercialize NERLYNX, if approved, in various specified regions outside of the United States. We plan to continue to pursue commercialization of NERLYNX in additional countries outside the United States where it has been approved. Engaging in international business inherently involves a number of difficulties and risks,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established companies, many of which are well-positioned within their local markets with longer operating histories, more recognizable names and better established distribution networks;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and level of coverage and reimbursement within prevailing foreign healthcare payment systems and the ability of patients to elect to privately pay for NERLYNX and, if approved, alisertib and our other products;</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10"/>
        <w:gridCol w:w="4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enforcing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60"/>
        <w:gridCol w:w="110"/>
        <w:gridCol w:w="13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pricing pressure;</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10"/>
        <w:gridCol w:w="73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required compliance with existing and changing foreign regulatory requirements and laws;</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10"/>
        <w:gridCol w:w="43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laws and business practices favoring local companies;</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10"/>
        <w:gridCol w:w="26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longer sales and payment cycles;</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1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enforcing agreements and collecting receivables through certain foreign legal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political and economic instability, including trade wars, the military conflicts between Russia and Ukraine, the conflicts between Israel and Hamas, recent inflation and disruptions in the capital and credit markets that may reduce our ability to raise additional capital when needed on acceptable terms, if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845" w:type="dxa"/>
        <w:jc w:val="left"/>
        <w:tblInd w:w="0" w:type="dxa"/>
        <w:tblLayout w:type="fixed"/>
        <w:tblCellMar>
          <w:top w:w="0" w:type="dxa"/>
          <w:left w:w="0" w:type="dxa"/>
          <w:bottom w:w="0" w:type="dxa"/>
          <w:right w:w="0" w:type="dxa"/>
        </w:tblCellMar>
      </w:tblPr>
      <w:tblGrid>
        <w:gridCol w:w="60"/>
        <w:gridCol w:w="110"/>
        <w:gridCol w:w="56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risks that could adversely affect our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110"/>
        <w:gridCol w:w="55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adverse tax consequences, tariffs and other trade barriers;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exposure to liabilities under anti-corruption and anti-money laundering laws, including the U.S. Foreign Corrupt Practices Act (“FCPA”), and similar laws and regulations in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60"/>
        <w:gridCol w:w="110"/>
        <w:gridCol w:w="42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 terrorism and anti-American sentiment;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110"/>
        <w:gridCol w:w="67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and costs associated with staffing and managing foreign operations; and</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10"/>
        <w:gridCol w:w="44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export restrictions and controls relating to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or our sub-licensees or third-party manufacturers are unable to address these international risks, we may fail to establish and maintain an international presence, and our business, financial condition and results of operations would suffer.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failure to comply with anti-bribery, anti-corruption, and anti-money laundering laws, including the FCPA and similar laws associated with our activities outside of the United States, could subject us to penalties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subject to the FCPA, regulations of the U.S. Office of Foreign Assets Control, the United Kingdom Bribery Act of 2010 and other anti-corruption, anti-bribery and anti-money laundering laws around the world where we conduct activities, including, if approved in such countries, the sale of our products. We face significant risks and liability if we fail to comply with the FCPA and other anti-corruption and anti-bribery laws that prohibit companies and their employees and third-party business partners, such as distributors or resellers, from authorizing, offering or providing, directly or indirectly, improper payments or benefits to foreign government officials, political parties or candidates, employees of public international organizations including healthcare professionals, or private-sector recipients for the corrupt purpose of obtaining or retaining business, directing business to any person, or securing any advantage. We currently rely on various third parties for certain services outside the United States, including continued development of our drug candidates and, if approved, its subsequent commercialization. We may be held liable for the corrupt or other illegal activities of these third parties and intermediaries, our employees, representatives, contractors, partners, and agents, even if we do not explicitly authorize such activities.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Any violation of the FCPA, other applicable anti-bribery, anti-corruption laws, and anti-money laundering laws could result in whistleblower, adverse media coverage, investigations, loss of export privileges, severe criminal or civil sanctions and, in the case of the FCPA, suspension or debarment from U.S. government contracts, which could have a material and adverse effect on our reputation, business, operating results and prospects. In addition, responding to any enforcement action or related investigation may result in a materially significant diversion of management’s attention and resources and significant defense costs and other professional fees.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fail to comply with United States export control and economic sanctions or fail to expand and maintain an effective sales force or successfully develop our international distribution network, our business, financial condition and operating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When selling any products outside of the United States, including NERLYNX, we are subject to United States export control and economic sanctions laws, the violation of which could result in substantial penalties being imposed against us. More broadly, if we fail to comply with export control laws, any sales could fail to grow or could decline, and our ability to grow our business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significantly on information technology and any failure, inadequacy, interruption or security lapse of that technology, including any cybersecurity incidents, could harm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rely on computer systems, hardware, software, technology infrastructure and online sites and networks for both internal and external operations that are critical to our business. We own and manage some of these information technology systems but also rely on third parties for a range of information technology systems and related products and services. We and certain of our third-party providers collect, maintain and process data about customers, employees, business partners and others, including personally identifiable information, as well as proprietary information belonging to our business such as trade secrets. Our information technology systems and those of third parties with which we contract may be vulnerable to damage from diverse threat vectors, including cyberattacks, “phishing” attacks and other social engineering schemes, employee theft or misuse, human error, fraud, denial or degradation of service attacks, computer viruses, malware (e.g. ransomware), sophisticated nation-state and nation-state-supported actors, unauthorized access or use by persons inside our organization or persons with access to systems inside our organization, hacking, natural disasters, terrorism, war and telecommunication and electrical failures despite the implementation of security measures. We are also vulnerable to other cybersecurity risks and threats, including malicious code embedded in open-source software, or misconfigurations, “bugs” or other vulnerabilities in commercial software that is integrated into our (or our suppliers’ or service providers’) information technology systems, products or services. Attacks upon information technology systems are increasing in their frequency, levels of persistence, sophistication and intensity, and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System failures, accidents or security breaches could cause interruptions in our operations and could result in a material disruption of our clinical activities and business operations, in addition to possibly requiring substantial expenditures of resources to remedy. The loss of clinical trial data could result in delays in our regulatory approval efforts and significantly increase our costs to recover or reproduce the data. Furthermore, any integration of artificial intelligence in our or any third party’s operations, products or services is expected to pose new or unknown cybersecurity risks and challenges. To the extent that any disruption or security breach were to result in a loss of, or damage to, our data or applications, or inappropriate disclosure of confidential or proprietary information, we could incur liability and our research and development programs, and the development of our drug candidates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There can also be no assurance that our cybersecurity risk management program and processes, including our policies, controls or procedures, will be fully implemented, complied with or effective in protecting our information technology systems and confidential information.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and certain of our service providers are from time to time subject to cyberattacks and security incidents that threaten the confidentiality, integrity and availability of our information technology systems and confidential information.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such as litigation exposure (including class actions),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We may also be exposed to a risk of loss or litigation and potential liability, which could materially and adversely affect our business, results of operations or financial condition.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Compliance with governmental regulation and other legal obligations related to privacy, data protection and information security could result in additional costs and liabilities to us or inhibit our ability to collect and process data, and the failure to comply with such requirements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Privacy and data security have become significant issues in the United States, Europe and in many other jurisdictions where we may in the future conduct our operations. As we receive, collect, process, use and store personal and confidential data, we are subject to diverse laws and regulations relating to data privacy and security.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number of U.S. states have also enacted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residents` personal information on the business’s behalf. Further,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Additional compliance investment and potential business process changes may also be required. Similar laws have been passed in other states, reflecting a trend toward more stringent privacy legislation in the United States. The enactment of such laws could have potentially conflicting requirements that would make compliance challenging. Compliance with these privacy and data security requirements is rigorous and time-intensive and may increase our cost of doing business; despite those efforts, there is a risk that we may be subject to fines and penalties, litigation and reputational harm, which could materially and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the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the regulatory framework for the receipt, collection, processing, use, safeguarding, sharing and transfer of personal and confidential data is rapidly evolving and is likely to remain uncertain for the foreseeable future as new global privacy rules are being enacted and existing ones are being updated and strengthened. For example, we may be subject to the EU General Data Protection Regulation (“EU GDPR”) and to the United Kingdom General Data Protection Regulation and Data Protection Act 2018 (collectively, the “UK GDPR”) (the EU GDPR and UK GDPR together referred to as the “GDPR”). The GDPR is directly applicable in each EU and EEA member state and the UK and applies to companies established in the EU and the EEA or UK as well as companies that collect and use personal data to offer goods or services to, or monitor the behavior of, individuals in the EU and the EEA or UK. The GDPR imposes stringent data protection obligations for processors and controllers of personal data, and penalties and fines for failure to comply with GDPR are significant, including fines of up to €20 million / £17.5 million or 4% of total worldwide annual turnover,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cannot compete successfully for market share against other drug companies, we may not achieve sufficient product revenue and our business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market for our drugs and drug candidates is characterized by intense competition and rapid technological advances. NERLYNX competes, and alisertib and any of our other drug candidates that receives FDA or foreign regulatory approval will compete, with a number of existing and future drugs and therapies developed, manufactured and marketed by others. Existing or future competing products may provide greater therapeutic convenience or clinical or other benefits for a specific indication than our products or may offer comparable performance at a lower cost. In addition, a large number of companies are pursuing the development of pharmaceuticals that target the same diseases and conditions that we are targeting. If our products fail to capture and maintain market share, we may not achieve sufficient product revenue and our business will suffer.</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compete against fully integrated pharmaceutical companies and smaller companies that are collaborating with larger pharmaceutical companies, academic institutions, government agencies and other public and private research organizations. Many of these competitors have oncology compounds that have already been approved or are in development. In addition, many of these competitors, either alone or together with their collaborative partners, operate larger research and development programs or have substantially greater financial resources than we do, as well as significantly greater experience in the following:</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10"/>
        <w:gridCol w:w="15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drugs;</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10"/>
        <w:gridCol w:w="41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undertaking pre-clinical testing and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10"/>
        <w:gridCol w:w="5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FDA and other foreign regulatory approvals of drugs;</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10"/>
        <w:gridCol w:w="34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formulating and manufacturing drugs; and</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10"/>
        <w:gridCol w:w="3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launching, marketing and selling drugs.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be exposed to liability claims associated with the use of hazardous materials and chemicals.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may require us to incur substantial compliance costs that could materially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loss of one or more key members of our management team could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success and future growth depend, to a significant degree, on the skills and continued services of our management team, in particular Alan H. Auerbach, our Chief Executive Officer and President. If Mr. Auerbach resigns or becomes unable to continue in his present role and is not adequately replaced, our business operations could be materially adversely affected. We do not maintain “key man” life insurance for Mr. Auerbach.</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are unable to hire additional qualified personnel, our ability to grow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of December 31, 2025, we h</w:t>
      </w:r>
      <w:r>
        <w:rPr>
          <w:rFonts w:ascii="Times New Roman" w:hAnsi="Times New Roman"/>
          <w:caps w:val="false"/>
          <w:smallCaps w:val="false"/>
          <w:sz w:val="20"/>
          <w:shd w:fill="FFFFFF" w:val="clear"/>
        </w:rPr>
        <w:t>ad 179 emplo</w:t>
      </w:r>
      <w:r>
        <w:rPr>
          <w:rFonts w:ascii="Times New Roman" w:hAnsi="Times New Roman"/>
          <w:caps w:val="false"/>
          <w:smallCaps w:val="false"/>
          <w:sz w:val="20"/>
        </w:rPr>
        <w:t>yees. Our future success depends on our ability to identify, attract, hire, train, retain and motivate other highly skilled scientific, technical, marketing, managerial and financial personnel. Although we will seek to hire and retain qualified personnel with experience and abilities commensurate with our needs, there is no assurance that we will succeed despite their collective efforts. Competition for personnel is intense, and any failure to attract and retain the necessary technical, marketing, managerial and financial personnel would have a material adverse effect on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successfully manage our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success will depend upon the expansion of our operations and our ability to successfully manage our growth. Our future growth, if any, may place a significant strain on our management and on our administrative, operational and financial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be adversely affected by the current economic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ability to attract and retain collaborators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or the threat or imposition of substantial tariffs on imports from various countries, including China, Canada and Mexico. We cannot anticipate all the ways in which the current economic climate and financial market conditions could adversely impact our business.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exposed to risks associated with reduced profitability and the potential financial instability of our collaborators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modify, delay or cancel orders for our products once commercialized. If collaboration partners or customers are not successful in generating sufficient revenue or are precluded from securing financing, they may not be able to pay, or may delay payment of, accounts receivable that are owed to us. This, in turn, could adversely affect our financial condition and liquidity. In addition, if economic challenges in the United States result in widespread and prolonged unemployment, either regionally or on a national basis, a substantial number of people may become uninsured or underinsured. To the extent economic challenges result in fewer individuals pursuing or being able to afford our products once commercialized, our business, results of operations, financial condition and cash flows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incur substantial liabilities and may be required to limit commercialization of our products in response to product liability lawsuits and product recalls.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testing and marketing of medical products entail an inherent risk of product liability. If we cannot successfully defend ourselves against product liability claims, we may incur substantial liabilities or be required to limit commercialization of our products. If we are unable to obtain sufficient product liability insurance at an acceptable cost to protect against potential product liability claims, the commercialization of pharmaceutical products we develop, alone or with collaborators, could be prevented or inhibited.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Product recalls may be issued at our discretion, or at the discretion of government agencies and other entities that have regulatory authority for pharmaceutical sales. Any recall of NERLYNX could materially adversely affect our business by rendering us unable to sell NERLYNX for some time and by adversely affecting our reputation.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in the future engage in strategic transactions that increase our capital requirements, dilute our stockholders, cause us to incur debt or assume contingent liabilities and subject us to other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actively evaluate various strategic transactions on an ongoing basis, including licensing or otherwise acquiring complementary products, technologies or businesses. Any potential future acquisitions or in-licensing transactions entail numerous risks, including but not limited to: </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10"/>
        <w:gridCol w:w="9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associated with satisfying the closing conditions relating to such transactions and realizing their anticipated benefits;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60"/>
        <w:gridCol w:w="110"/>
        <w:gridCol w:w="42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operating expenses and cash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10"/>
        <w:gridCol w:w="8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difficulty integrating acquired technologies, products, operations, and personnel with our existing business;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10"/>
        <w:gridCol w:w="44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disruption of our historical core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diversion of management’s attention in connection with both negotiating the acquisition or license and integrating the business, technology or product;</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10"/>
        <w:gridCol w:w="2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retention of key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assimilating employees and corporate cultures of any acquired companies;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10"/>
        <w:gridCol w:w="7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in our ability to maintain key business relationships of any acquired companies;</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strain on managerial and operational resources;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difficulty implementing and maintaining effective internal control over financial reporting at businesses that we acquire, particularly if they are not located near our existing operations;</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10"/>
        <w:gridCol w:w="7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exposure to unanticipated liabilities of acquired companies or companies in which we invest;</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10"/>
        <w:gridCol w:w="6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need to write down assets or recognize impairment charges; and</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10"/>
        <w:gridCol w:w="64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costly and time-consuming litigation, including stockholder lawsuits.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a result of these or other problems and risks, businesses, technologies or products we acquire or invest in or obtain licenses to may not produce the revenues, earnings or business synergies that we anticipated, acquired or licensed drug candidates or technologies may not result in regulatory approvals, and acquired or licensed products may not perform as expected. As a result, we may incur higher costs and realize lower revenues than we had anticipated. We cannot assure you that any acquisitions or investments we have made or may make in the future will be completed or that, if completed, the acquired business, licenses, investments, products, or technologies will generate sufficient revenue to offset the negative costs or other negative effects on our business. Failure to effectively manage our growth through acquisition or in-licensing transactions could adversely affect our growth prospects, business, results of operations, financial condition,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we may spend significant amounts of funds, issue dilutive securities, assume or incur significant debt obligations, incur large one-time expenses and acquire intangible assets or goodwill in connection with acquisitions and in-licensing transactions that could result in significant future amortization expense and write-offs. Moreover, we may not be able to locate suitable acquisition opportunities and this inability could impair our ability to grow or obtain access to technology or products that may be important to the development of our business. Other pharmaceutical companies, many of which may have substantially greater financial, marketing and sales resources, compete with us for these opportunities. Even if appropriate opportunities are available, we may not be able to successfully identify them or we may not have the financial resources necessary to pursue them, and if pursued, we may be unable to structure and execute transactions in the anticipated timeframe, or at 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depend significantly on in-licensed intellectual property, and the termination of these licenses would significantly harm our business and future prospects.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depend significantly on our license agreements with Pfizer and Takeda, respectively. Each of these license agreements may be terminated if we materially breach the agreement and fail to cure our breach during an applicable cure period. Our failure to use commercially reasonable efforts to develop and commercialize licensed products in applicable specified major market countries would constitute a material breach of the applicable license agreement. The applicable license agreement may also be terminated if we become involved in bankruptcy, receivership, insolvency or similar proceedings. In the event either license agreement is terminated, we will lose all of our rights to develop and commercialize the drug candidates covered by such license, which would significantly harm our business and future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proprietary rights may not adequately protect our intellectual property and potential products, and if we cannot obtain adequate protection of our intellectual property and potential products, we may not be able to successfully market our potential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commercial success will depend in part on obtaining and maintaining intellectual property protection for our products, formulations, processes, methods and other technologies. We will only be able to protect these technologies and products from unauthorized use by third parties to the extent that valid and enforceable intellectual property rights, including patents, cover them, or other market exclusionary rights and regulatory exclusivity periods apply. The patent positions of pharmaceutical companies, like ours, can be highly uncertain and involve complex legal and factual questions for which important legal principles remain unresolved. No consistent policy regarding the breadth of claims allowed in such companies’ patents has emerged to date in the United States. The general environment for pharmaceutical patents outside the United States also involves significant uncertainty. Accordingly, we cannot predict the breadth of claims that may be allowed (if any are allowed at all) or enforced, or that the scope of these patent rights could provide a sufficient degree of future protection that could permit us to gain or keep our competitive advantage with respect to these products and technology. For example, we cannot predict: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degree and range of protection any patents will afford us against competitors, including whether third parties will find ways to make, use, sell, offer to sell or import competitive products without infringing our patents;</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10"/>
        <w:gridCol w:w="24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and when patents will issue;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or not others will obtain patents claiming inventions similar to those covered by our patents and patent applications;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we will need to initiate litigation or administrative proceedings in connection with patent rights, which may be costly whether we win or lose, and the outcome of which is unpredictable.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patents we have licensed may be challenged by third parties and could be invalidated or rendered unenforceable. There is no guarantee that a court would agree that any of the patents we have licensed, and which are currently in force, are valid or enforceable. Challenges to the breadth or strength of protection provided by any patents we have licensed, or patent applications we may pursue in the future, with respect to any of our current or future drug candidates or products, could threaten our ability to commercialize any of our current or future drug candidates or products. Changes in either the patent laws or in the interpretations of patent laws in the United States or other countries may diminish the value of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patents we have licensed may be affected by certain provisions of the America Invents Act (“AIA”), enacted in 2011. For example, under the AIA, members of the public may seek to challenge an issued patent by petitioning the U.S. Patent and Trademark Office (“USPTO”) to institute a post grant proceeding, such as a Post Grant Review (“PGR”), or Inter Parties Review (“IPR”). Once a post grant proceeding is instituted, the USPTO may find grounds to revoke the challenged patent or specific claims therein. A similar procedure (known as a patent opposition) has existed in Europe for many years, and we have defended, and continue to defend, our European patents in certain of those proceedings. We cannot predict whether any other licensed patents will become the subject of a post grant proceeding or patent opposition. If a significant product patent is successfully challenged in a post grant proceeding or patent opposition, it may be revoked, which would have a serious negative impact on our ability to maintain exclusivity in the marketplace for our commercial products affected by such revocation and could adversely affect our future revenues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others may independently develop similar or alternative products and technologies that may be outside the scope of our intellectual property. Furthermore, others may have invented technology claimed by our patents before we or our licensors did so, and they may have filed patents claiming such technology before we did so, weakening our ability to obtain and maintain patent protection for such technology. Should third parties obtain patent rights to similar products or technology, this may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also rely on trade secrets to protect our technology, especially where we do not believe patent protection is appropriate or obtainable. Trade secrets, however, are difficult to protect. While we believe that we will use reasonable efforts to protect our trade secrets, our own or our strategic partners’ employees, consultants, contractors or advisors may unintentionally or willfully disclose our information to competitors. Such disclosure could adversely affect our ability to prevent further disclosures of our trade secrets. We seek to protect this information, in part, through the use of non-disclosure and confidentiality agreements with employees, consultants, advisors and others. These agreements may be breached, and we may not have adequate remedies for a breach. In addition, we cannot ensure that those agreements will be enforceable, provide adequate protection for our trade secrets, know-how or other proprietary information, or prevent their unauthorized use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To the extent that consultants or key employees apply technological information independently developed by them or by others to our potential products, disputes may arise as to the proprietary rights in such information, which may not be resolved in our favor. Consultants and key employees who work with our confidential and proprietary technologies are required to assign all intellectual property rights in their discoveries to us. However, these consultants or key employees may terminate their relationship with us, and we cannot preclude them indefinitely from dealing with our competitors. If our trade secrets become known to competitors with greater experience and financial resources, the competitors may copy or use our trade secrets and other proprietary information in the advancement of their products, methods or technologies. If we were to prosecute a claim that a third party had illegally obtained and was using our trade secrets, it could be expensive and time consuming and the outcome could be unpredictable. In addition, courts outside the United States are sometimes less willing to protect trade secrets than courts in the United States. Moreover, if our competitors independently develop equivalent knowledge, we would lack any legal or contractual claim to prevent them from using such information, and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Additionally, our products may face generic or biosimilar competition before patent exclusivity expires in various jurisdictions. To date, we have been involved in litigation in the United States against the one ANDA applicant that submitted a Paragraph IV certification directed to our patents (Sandoz), and also in China against parties that filed applications and/or received approval for generic versions of NERLYNX. In order to eliminate the burden, expense, distraction and uncertaintie</w:t>
      </w:r>
      <w:r>
        <w:rPr>
          <w:rFonts w:ascii="Times New Roman" w:hAnsi="Times New Roman"/>
          <w:caps w:val="false"/>
          <w:smallCaps w:val="false"/>
          <w:sz w:val="20"/>
          <w:shd w:fill="FFFFFF" w:val="clear"/>
        </w:rPr>
        <w:t>s of litigation, we entered a settlement and license agreement in 2022 that would permit Sandoz to begin selling a generic version of neratinib in the United States on or around December 8, 2030.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protect our intellectual property rights throughout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Filing, prosecuting, and defending our intellectual property rights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instance, some jurisdictions, such as China and India, do not consider methods of treating the human body as patentable. Further,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intellectual property rights or marketing of competing products in violation of our proprietary rights generally. Proceedings to enforce our proprietary rights in foreign jurisdictions, whether or not successful, could result in substantial costs and divert our efforts and attention from other aspects of our business, could put our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Certain fees, including maintenance, renewal, annuity, and other governmental fees, on patents and/or applications are periodically due to be paid to the USPTO and various foreign governmental patent agencies at certain stages over the lifetime of the patents and/or applications. We have systems in place and employ third-party firms to monitor due dates and pay these fees. We also employ law firms and other reputable professionals to assist us in the event an inadvertent lapse can be cured by payment of a late fee or by other means according to the applicable jurisdictional laws and rules. Non-compliance, in certain circumstances, can result in abandonment or lapse of the patent (or patent application) and result in a partial or even complete loss of patent rights in the particular jurisdiction. Our competitors might be able to enter the market under such circumstances, resulting in a possible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ability to commercialize our products will depend on our ability to sell such products without infringing the patent or proprietary rights of third parties. If we are sued for infringing intellectual property rights of third parties, it will be costly and time consuming, and an unfavorable outcome in that litigation would have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ability to commercialize our products will depend on our ability to sell such products without infringing the patents or other proprietary rights of third parties. Third-party intellectual property rights in our field are complicated and continuously evolving. The coverage of patents is subject to interpretation by the courts, and this interpretation is not always consistent.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Other companies may have or may acquire intellectual property rights that could be enforced against us. If they do so, we may be required to alter our products, formulations, processes, methods or other technologies, obtain a license, assuming one can be obtained, or cease our product-related activities. Holders of such intellectual property rights are not required to give us a license if one were required. If our products or technologies infringe the intellectual property rights of others, such parties could bring legal action against us or our licensors or collaborators claiming damages and seeking to enjoin any activities that they believe infringe their intellectual property rights. If we are sued for patent infringement, we would need to demonstrate that our products or methods of use either do not infringe the patent claims of the relevant patent or that the patent claims are invalid or unenforceable, and we may not be able to do this. Proving the invalidity of a patent is particularly difficult in the United States, since it requires a showing of clear and convincing evidence to overcome the presumption of validity enjoyed by issued patents. If we are found to infringe a third-party patent, we may need to cease the commercial sale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Because patent applications can take many years to issue, there may be currently pending applications unknown to us or reissue applications that may later result in issued patents upon which our products or technologies may infringe. There could also be existing patents of which we are unaware that our products or technologies may infringe. In addition, if third parties file patent applications or obtain patents claiming products or technologies also claimed by us in pending applications or issued patents, we may have to participate in interference proceedings in the USPTO, to determine priority of invention. If third parties file IPR or PGR petitions in the USPTO to invalidate our issued U.S. patents, we may have to participate in such proceedings to defend such patents. If third parties file oppositions in foreign countries, we may also have to participate in opposition proceedings in foreign tribunals to defend the patentability of our filed foreign patent applications. The outcome of such proceedings in the United States and foreign countries is unpredictable. Some of our competitors may be able to sustain the costs of such proceedings and of complex patent litigation more effectively than we can because they have substantially greater resources. Additionally, any uncertainties resulting from the initiation and continuation of any such proceedings or litigation may have a material adverse effect on our ability to raise the funds necessary to continue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a third-party claims that we infringe its intellectual property rights, it could cause our business to suffer in a number of ways,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become involved in time-consuming and expensive litigation, even if the claim is without merit, the third party’s patent is ultimately invalid or unenforceable, or we are ultimately found to have not infringed;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become liable for substantial damages for past infringement if a court decides that our technologies infringe upon a third party’s patent;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ordered by a court to stop making, using, selling, offering for sale, importing or licensing our products or technologies without a license from a patent holder, and such license may not be available on commercially acceptable terms, if at all, or may require us to pay substantial royalties or grant cross-licenses to our patents;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to redesign our products so that they do not infringe upon others’ patent rights, which may not be possible or could require substantial investment and/or time.</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any of these events occur, our business could suffer, and the market price of our common stock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is common in the biotechnology and pharmaceutical industries, we employ individuals who were previously employed at other companies in these industries, including our competitors or potential competitors. We may become subject to claims that these employees or we have inadvertently or otherwise used or disclosed trade secrets or other proprietary information of their former employers, although no such claims are pending. Litigation may be necessary to defend against these claims. Even if we successfully defend any such claims, we may incur substantial costs in such defense, and our management may be distracted by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Owning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price of our common stock could be subject to volatility related or unrelated to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trading price of our common stock has been highly volatile and could continue to be subject to wide fluctuations in response to various factors, some of which are beyond our control. These factors include:</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10"/>
        <w:gridCol w:w="2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sales of NERLYNX;</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overall demand for NERLYNX, including the customer ordering and discontinuation patterns;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10"/>
        <w:gridCol w:w="81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quarterly variation in our results of operations or the results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regarding results of any clinical trials relating to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10"/>
        <w:gridCol w:w="61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medical innovations or new products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10"/>
        <w:gridCol w:w="34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involving our sublicensees;</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60"/>
        <w:gridCol w:w="110"/>
        <w:gridCol w:w="71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new or changed securities analyst reports or recommendations for our stock;</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or disputes concerning our intellectual property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10"/>
        <w:gridCol w:w="51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commencement of, or developments in, litigation involving us;</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conditions in the biopharmaceutical industry;</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110"/>
        <w:gridCol w:w="41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timing and announcement of regulatory approvals;</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10"/>
        <w:gridCol w:w="79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government regulation that affect us or the biopharmaceutical industry more generally;</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future sales of our common stock or other securities in connection with raising additional capital or otherwise;</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0"/>
        <w:gridCol w:w="110"/>
        <w:gridCol w:w="67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major change to the composition of our board of directors or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10"/>
        <w:gridCol w:w="59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conditions and slow or negative growth of our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stock market in general, and market prices for the securities of biotechnology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been subject to securities litigation in the past, and volatility in the price of our common stock may subject us to securities litigation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These types of lawsuits are subject to inherent uncertainties, and are expensive and time-consuming to investigate, defend and resolve, and in the past, we have been a defendant in such lawsuits. Any other litigation to which we are a party may similarly divert our management’s attention and financial and other resources or result in an onerous or unfavorable judgment that may not be reversed upon appeal or in payments of substantial monetary damages or fines. Additionally, we may decide to settle such lawsuits on similarly unfavorable terms, which could adversely affect our business, financial condition, results of operations or stock price.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Issuance of stock to fund our operations may dilute your investment and reduce your equity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need to raise capital in the future to fund the development of our drug candidates or for other purposes. Any equity financing may have a significant dilutive effect to stockholders and a material decrease in our existing stockholders’ equity interest in us. In November 2021, we also entered into an Open Market Sales AgreementSM with Jefferies LLC pursuant to which we may offer and sell shares of common stock having an aggregate offering price of up to $50.0 million from time to time, in any method that is deemed to be an “at the market” offering as defined in Rule 415(a)(4) of the Securities Act.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Upon the exercise of our outstanding warrant, holders of our common stock may experience immediate dilution and the market price of our common stock may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founder, Chief Executive Officer and President, Alan H. Auerbach, holds a warrant for 2,116,250 shares with an exercise price of $16.00 per share. If any portion of the outstanding warrant is exercised for shares of our common stock when the market price is higher than the exercise price prior to its expiration in October 2026, our stockholders may experience immediate dilution and the market price of our common stock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incur increased costs and demands upon management as a result of complying with the laws and regulations affecting public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including costs associated with public company reporting requirements. We also incur costs associated with current corporate governance requirements, including requirements under Section 404 and other provisions of the Sarbanes-Oxley Act of 2002, as amended (the “Sarbanes-Oxley Act”), as well as rules implemented by the SEC, or NASDAQ or any stock exchange or inter-dealer quotations system on which our common stock may be listed in the future. The expenses incurred by public companies for reporting and corporate governance purposes have increased dramatically in recent years. These rules and regulations increase our legal and financial compliance costs and make some activities more time-consuming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These rules and regulations may also make it difficult and expensive for us to maintain the appropriate level of director and officer insurance for a company with our market capitalization. If we are unable to maintain an appropriate level of such insurance, we may be required to accept reduced policy limits and coverage or larger deductible limits. As a result, it may be more difficult for us to attract and retain qualified individuals to serve on our board of directors or as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we fail to maintain proper and effective internal controls, our ability to produce accurate and timely financial statements could be impaired, which could harm our operating results, our ability to operate our business and investors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views of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subject to the rules and regulations of the SEC, including those rules and regulations mandated by the Sarbanes-Oxley Act. Section 404 of the Sarbanes-Oxley Act requires public companies to include in their annual report a statement of management’s responsibilities for establishing and maintaining adequate internal control over financial reporting, together with an assessment of the effectiveness of those internal controls. Section 404 also requires the independent auditors of certain public companies to attest to, and report on, this management assessment. Ensuring that we have adequate internal financial and accounting controls and procedures in place so that we can produce accurate financial statements on a timely basis is a costly and time-consuming effort that will need to be evaluated frequently. Our failure to maintain the effectiveness of our internal controls in accordance with the requirements of the Sarbanes-Oxley Act could have a material adverse effect on our business. We could lose investor confidence in the accuracy and completeness of our financial reports, which could have an adverse effect on the price of our common stock.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securities or industry analysts do not publish, or cease publishing, research reports about us, our business or our market, or if they change their recommendations regarding our stock adversely, our stock price and trading volume could decline.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is and will be influenced by whether industry or securities analysts publish research and reports about us, our business, our market or our competitors and, if any analysts do publish such reports, what they publish in those reports. We may not obtain analyst coverage in the future. Any analysts who do cover us may make adverse recommendations regarding our stock, adversely change their recommendations from time to time, and/or provide more favorable relative recommendations about our competitors. If any analyst who may cover us in the future were to cease coverage of our company or fail to regularly publish reports on us, or if analysts fail to cover us or publish reports about us at all, we could lose visibility in the financial markets, which in turn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do not foresee paying cash dividends in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currently intend to retain any future earnings for funding growth. We do not anticipate paying any dividends in the foreseeable future, and the payment of dividends is also restricted under our Note Purchase Agreement with Athyrium. As a result, you should not rely on an investment in our securities if you require dividend income. Capital appreciation, if any, of our shares may be your sole source of gain for the foreseeable future. Moreover, you may not be able to re-sell your shares in us at or above the price you paid for them.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losses and research and development credit carryforwards to offset future taxable income may be subject to certain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general, under Sections 382 and 383 of the Internal Revenue Code of 1986, as amended (the “Code”), a corporation that undergoes an “ownership change,” generally defined as a greater than 50% change (by value) in its equity ownership over a three year period, is subject to limitations on its ability to utilize its pre-change net operating losses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Sections 382 and 383 of the Code. Furthermore, our ability to utilize NOLs and research and development credit carryforwards of any companies we may acquire in the future may be subject to limitations, in accordance with Sections 382 and 383 of the Code. For these reasons, in the event we experience a change of control, we may not be able to utilize a material portion of the NOLs and research and development credit carryforwards, even if we attain profitability.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Additionally, valuation allowances needed for deferred tax assets that we estimate are more likely than not to be unusable, based on available evidence at the time the estimate is made. For the year ended December 31, 2025, we recorded a partial release of</w:t>
      </w:r>
      <w:r>
        <w:rPr>
          <w:rFonts w:ascii="Times New Roman" w:hAnsi="Times New Roman"/>
          <w:caps w:val="false"/>
          <w:smallCaps w:val="false"/>
          <w:sz w:val="20"/>
          <w:shd w:fill="FFFFFF" w:val="clear"/>
        </w:rPr>
        <w:t> $3.8 milli</w:t>
      </w:r>
      <w:r>
        <w:rPr>
          <w:rFonts w:ascii="Times New Roman" w:hAnsi="Times New Roman"/>
          <w:caps w:val="false"/>
          <w:smallCaps w:val="false"/>
          <w:sz w:val="20"/>
        </w:rPr>
        <w:t>on of our valuation allowance related to deferred tax assets, resulting in a total valuation allowance o</w:t>
      </w:r>
      <w:r>
        <w:rPr>
          <w:rFonts w:ascii="Times New Roman" w:hAnsi="Times New Roman"/>
          <w:caps w:val="false"/>
          <w:smallCaps w:val="false"/>
          <w:sz w:val="20"/>
          <w:shd w:fill="FFFFFF" w:val="clear"/>
        </w:rPr>
        <w:t>f $324.8 million</w:t>
      </w:r>
      <w:r>
        <w:rPr>
          <w:rFonts w:ascii="Times New Roman" w:hAnsi="Times New Roman"/>
          <w:caps w:val="false"/>
          <w:smallCaps w:val="false"/>
          <w:sz w:val="20"/>
        </w:rPr>
        <w:t xml:space="preserve"> as of December 31, 2025. See Note 12–Income Taxes in the notes to the financial statements included in this Annual Report for further information. The recording of any future increase in or release of all or any portion of our valuation allowance could have a material impact on our reported results and could cause fluctuations in our quarterly and annual results of operations. Moreover, potential changes in the tax law or in our projections could impact our assessment and valuation allowance estimates, which could have a material adverse effect on our business, financial condition and results of operations.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4135" w:type="dxa"/>
        <w:jc w:val="left"/>
        <w:tblInd w:w="0" w:type="dxa"/>
        <w:tblLayout w:type="fixed"/>
        <w:tblCellMar>
          <w:top w:w="0" w:type="dxa"/>
          <w:left w:w="0" w:type="dxa"/>
          <w:bottom w:w="0" w:type="dxa"/>
          <w:right w:w="0" w:type="dxa"/>
        </w:tblCellMar>
      </w:tblPr>
      <w:tblGrid>
        <w:gridCol w:w="875"/>
        <w:gridCol w:w="3260"/>
      </w:tblGrid>
      <w:tr>
        <w:trPr/>
        <w:tc>
          <w:tcPr>
            <w:tcW w:w="875" w:type="dxa"/>
            <w:tcBorders/>
            <w:vAlign w:val="center"/>
          </w:tcPr>
          <w:p>
            <w:pPr>
              <w:pStyle w:val="TableContents"/>
              <w:bidi w:val="0"/>
              <w:spacing w:before="0" w:after="0"/>
              <w:ind w:left="0" w:right="0" w:hanging="0"/>
              <w:jc w:val="left"/>
              <w:rPr>
                <w:rFonts w:ascii="Times New Roman" w:hAnsi="Times New Roman"/>
                <w:b/>
                <w:sz w:val="20"/>
              </w:rPr>
            </w:pPr>
            <w:bookmarkStart w:id="6" w:name="i1B"/>
            <w:bookmarkEnd w:id="6"/>
            <w:r>
              <w:rPr>
                <w:rFonts w:ascii="Times New Roman" w:hAnsi="Times New Roman"/>
                <w:b/>
                <w:sz w:val="20"/>
              </w:rPr>
              <w:t>ITEM 1B.</w:t>
            </w:r>
          </w:p>
        </w:tc>
        <w:tc>
          <w:tcPr>
            <w:tcW w:w="326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UNRESOLVED STAFF COMMENTS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560" w:type="dxa"/>
        <w:jc w:val="left"/>
        <w:tblInd w:w="0" w:type="dxa"/>
        <w:tblLayout w:type="fixed"/>
        <w:tblCellMar>
          <w:top w:w="0" w:type="dxa"/>
          <w:left w:w="0" w:type="dxa"/>
          <w:bottom w:w="0" w:type="dxa"/>
          <w:right w:w="0" w:type="dxa"/>
        </w:tblCellMar>
      </w:tblPr>
      <w:tblGrid>
        <w:gridCol w:w="875"/>
        <w:gridCol w:w="1685"/>
      </w:tblGrid>
      <w:tr>
        <w:trPr/>
        <w:tc>
          <w:tcPr>
            <w:tcW w:w="875" w:type="dxa"/>
            <w:tcBorders/>
            <w:vAlign w:val="center"/>
          </w:tcPr>
          <w:p>
            <w:pPr>
              <w:pStyle w:val="TableContents"/>
              <w:bidi w:val="0"/>
              <w:spacing w:before="0" w:after="0"/>
              <w:ind w:left="0" w:right="0" w:hanging="0"/>
              <w:jc w:val="left"/>
              <w:rPr/>
            </w:pPr>
            <w:bookmarkStart w:id="7" w:name="Cybersecurity"/>
            <w:bookmarkEnd w:id="7"/>
            <w:r>
              <w:rPr>
                <w:rFonts w:ascii="Times New Roman" w:hAnsi="Times New Roman"/>
                <w:b/>
                <w:caps w:val="false"/>
                <w:smallCaps w:val="false"/>
                <w:sz w:val="20"/>
              </w:rPr>
              <w:t>ITEM </w:t>
            </w:r>
            <w:r>
              <w:rPr>
                <w:rStyle w:val="Emphasis"/>
                <w:rFonts w:ascii="Times New Roman" w:hAnsi="Times New Roman"/>
                <w:b/>
                <w:caps w:val="false"/>
                <w:smallCaps w:val="false"/>
                <w:sz w:val="20"/>
              </w:rPr>
              <w:t>1C.</w:t>
            </w:r>
          </w:p>
        </w:tc>
        <w:tc>
          <w:tcPr>
            <w:tcW w:w="16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CYBERSECURITY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developed and implemented a cybersecurity risk management program intended to protect the confidentiality, integrity, and availability of our critical systems and information.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We design and assess our program based on the National Institute of Standards and Technology Cybersecurity Framework (“NIST CSF”). This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Key elements of our cybersecurity risk management program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risk assessments designed to help identify material cybersecurity threats to our critical systems and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a management team responsible for managing (</w:t>
            </w:r>
            <w:r>
              <w:rPr>
                <w:rStyle w:val="Emphasis"/>
                <w:rFonts w:ascii="Times New Roman" w:hAnsi="Times New Roman"/>
                <w:caps w:val="false"/>
                <w:smallCaps w:val="false"/>
                <w:sz w:val="20"/>
              </w:rPr>
              <w:t>1</w:t>
            </w:r>
            <w:r>
              <w:rPr>
                <w:rFonts w:ascii="Times New Roman" w:hAnsi="Times New Roman"/>
                <w:caps w:val="false"/>
                <w:smallCaps w:val="false"/>
                <w:sz w:val="20"/>
              </w:rPr>
              <w:t>) our cybersecurity risk assessment processes, (</w:t>
            </w:r>
            <w:r>
              <w:rPr>
                <w:rStyle w:val="Emphasis"/>
                <w:rFonts w:ascii="Times New Roman" w:hAnsi="Times New Roman"/>
                <w:caps w:val="false"/>
                <w:smallCaps w:val="false"/>
                <w:sz w:val="20"/>
              </w:rPr>
              <w:t>2</w:t>
            </w:r>
            <w:r>
              <w:rPr>
                <w:rFonts w:ascii="Times New Roman" w:hAnsi="Times New Roman"/>
                <w:caps w:val="false"/>
                <w:smallCaps w:val="false"/>
                <w:sz w:val="20"/>
              </w:rPr>
              <w:t>) our security controls and (</w:t>
            </w:r>
            <w:r>
              <w:rPr>
                <w:rStyle w:val="Emphasis"/>
                <w:rFonts w:ascii="Times New Roman" w:hAnsi="Times New Roman"/>
                <w:caps w:val="false"/>
                <w:smallCaps w:val="false"/>
                <w:sz w:val="20"/>
              </w:rPr>
              <w:t>3</w:t>
            </w:r>
            <w:r>
              <w:rPr>
                <w:rFonts w:ascii="Times New Roman" w:hAnsi="Times New Roman"/>
                <w:caps w:val="false"/>
                <w:smallCaps w:val="false"/>
                <w:sz w:val="20"/>
              </w:rPr>
              <w:t>) our response to cybersecurity incidents;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use of external service providers, where appropriate, to assess, test or otherwise assist with aspects of our security processes;</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60"/>
        <w:gridCol w:w="110"/>
        <w:gridCol w:w="93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 awareness training of our employees, including incident response personnel and senior management;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10"/>
        <w:gridCol w:w="8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cybersecurity incident response plan that includes procedures for responding to cybersecurity incidents;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a third-party risk management process for key service providers, based on our assessment of their criticality to our operations and respective risk profile.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We rely significantly on information technology and any failure, inadequacy, interruption or security lapse of that technology, including any cybersecurity incidents, could harm us.”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Committee receives periodic reports from management on our cybersecurity risks. In addition, management updates the Committee, where it deems appropriate, regarding any cybersecurity incidents it considers to be potentially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The Committee reports to the full Board regarding its activities, including those related to cybersecurity. The full Board also periodically receives briefings from management on our cyber risk management program. Board members receive presentations on cybersecurity topics from internal security staff or external experts as part of the Board’s continuing education on topics that impact public companies. Our management team, including our Senior Director of Information Technology and Senior Vice President, Quality Assurance, who report to the Chief Financial Officer and Chief Executive Officer, respectively, are primarily responsible for assessing and managing our material risks from cybersecurity threats. The Senior Director of Information Technology and Senior Vice President, Quality Assurance have primary responsibility for our overall cybersecurity risk management program and supervise both our internal technology and quality assurance compliance personnel and our retained external cybersecurity consultants. Our Senior Director of Information Technology has more than 20 years of experience in IT Management, including cybersecurity, and our Senior Vice President, Quality Assurance has more than 20 years of experience in computerized system and IT infrastructure controls, compliance, and risk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Our management team takes steps to stay informed about and monitor efforts to prevent, detect, mitigate, and remediate cybersecurity risks and incidents through various means,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briefings from internal security personnel; threat intelligence and other information obtained from governmental, public or private sources, including external consultants engaged by us; and alerts and reports produced by security tools deployed in our information technology environment.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740"/>
        <w:gridCol w:w="1310"/>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8" w:name="i2"/>
            <w:bookmarkEnd w:id="8"/>
            <w:r>
              <w:rPr>
                <w:rFonts w:ascii="Times New Roman" w:hAnsi="Times New Roman"/>
                <w:b/>
                <w:caps w:val="false"/>
                <w:smallCaps w:val="false"/>
                <w:sz w:val="20"/>
              </w:rPr>
              <w:t>ITEM 2.</w:t>
            </w:r>
          </w:p>
        </w:tc>
        <w:tc>
          <w:tcPr>
            <w:tcW w:w="131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PROPERTIES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lease approximately 65,656 square feet of office space in the building located at 10880 Wilshire Boulevard, Los Angeles, California for use as our corporate headquarters. This lease commenced in December 2011 and over time has been amended to add rentable square footage. In February 2019, we entered into a long-term sublease agreement whereby we sublease 12,429 square feet of this office space to a third party subtenant. This sublease was terminated in December 2024. Also, in August 2023, we entered into a long-term sublease agreement whereby we sublease 13,916 square feet of this office space to a third party subtenant. The rental amounts payable to us pursuant to both subleases increase approximately 3% and terminate in March 2026. In July 2025, we executed an amendment to our office space in Los Angeles, California to surrender certain suites effective March 31, 2026 and extend the lease term for the remaining 26,700 rentable square feet in suite 17 for an additional five years and five months through August 31, 2031. We also lease approximately 29,470 square feet of office space in the building located at 701 Gateway Blvd, South San Francisco, California. The lease for the South San Francisco facility commenced in October 2012. The South San Francisco lease will terminate around March 2026. We believe that our office space in Los Angeles is adequate to meet current and anticipated future requirements and that additional or substitute space will be available as needed to accommodate any expansions that our operations require.</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40"/>
        <w:gridCol w:w="2210"/>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9" w:name="i3"/>
            <w:bookmarkEnd w:id="9"/>
            <w:r>
              <w:rPr>
                <w:rFonts w:ascii="Times New Roman" w:hAnsi="Times New Roman"/>
                <w:b/>
                <w:caps w:val="false"/>
                <w:smallCaps w:val="false"/>
                <w:sz w:val="20"/>
              </w:rPr>
              <w:t>ITEM 3.</w:t>
            </w:r>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LEGAL PROCEEDINGS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Legal Malpractice Suit</w:t>
      </w:r>
      <w:r>
        <w:rPr>
          <w:rFonts w:ascii="Times New Roman" w:hAnsi="Times New Roman"/>
          <w:caps w:val="false"/>
          <w:smallCaps w:val="false"/>
          <w:sz w:val="20"/>
        </w:rPr>
        <w:t xml:space="preserve">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On September 17, 2020, 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and all legal fees and expenses 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June 2, 2023, 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On August 22, 2023, the defendants filed motions to dismiss the case. These motions were presented at a hearing on February 20, 2024. The Superior Court Judge granted the motions to dismiss on March 20, 2024. The Company appealed this ruling to the North Carolina Court of Appeals. On September 3, 2025, the Court of Appeals reversed the dismissal of the Company’s claim for legal malpractice and remanded the case to the Superior Court for further proceedings. The defendants filed a petition for discretionary review of this decision by the North Carolina Supreme Court on October 8, 2025. The Supreme Court has not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 w:hAnsi="Times New Roman"/>
          <w:caps w:val="false"/>
          <w:smallCaps w:val="false"/>
          <w:sz w:val="20"/>
        </w:rPr>
      </w:pPr>
      <w:r>
        <w:rPr>
          <w:rFonts w:ascii="Times New Roman" w:hAnsi="Times New Roman"/>
          <w:b/>
          <w:i/>
          <w:caps w:val="false"/>
          <w:smallCaps w:val="false"/>
          <w:sz w:val="20"/>
        </w:rPr>
        <w:t>Patent-Related Proceedings</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September 22, 2021, the Company filed suit against AstraZeneca Pharmaceuticals, LP, AstraZeneca AB, and AstraZeneca PLC for infringement of United States Patent Nos. 10,603,314 (“the ‘314 patent”) and 10,596,162 (“the ‘162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1:21CV01338 (D. Del. Sep. 22, 2021)). The Company’s complaint alleges that AstraZeneca’s commercial manufacture, use, 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$107,500,000.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The motion was granted on May 16, 2025. On June 6, 2025, Wyeth filed its reply brief. Briefing on the appeal is now complete, and the parties await further order from the Court.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rFonts w:ascii="Times New Roman" w:hAnsi="Times New Roman"/>
          <w:caps w:val="false"/>
          <w:smallCaps w:val="false"/>
          <w:sz w:val="20"/>
        </w:rPr>
      </w:pPr>
      <w:r>
        <w:rPr>
          <w:rFonts w:ascii="Times New Roman" w:hAnsi="Times New Roman"/>
          <w:caps w:val="false"/>
          <w:smallCaps w:val="false"/>
          <w:sz w:val="20"/>
        </w:rPr>
        <w:t xml:space="preserve">59 </w:t>
      </w:r>
    </w:p>
    <w:p>
      <w:pPr>
        <w:pStyle w:val="HorizontalLine"/>
        <w:bidi w:val="0"/>
        <w:ind w:left="0" w:right="0" w:firstLine="540"/>
        <w:jc w:val="left"/>
        <w:rPr/>
      </w:pPr>
      <w:r>
        <w:rPr/>
      </w:r>
    </w:p>
    <w:p>
      <w:pPr>
        <w:pStyle w:val="TextBody"/>
        <w:bidi w:val="0"/>
        <w:ind w:left="0" w:right="0" w:firstLine="540"/>
        <w:jc w:val="left"/>
        <w:rPr/>
      </w:pPr>
      <w:hyperlink w:anchor="toc">
        <w:r>
          <w:rPr>
            <w:rStyle w:val="InternetLink"/>
            <w:rFonts w:ascii="Times New Roman;Times;serif" w:hAnsi="Times New Roman;Times;serif"/>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to examine evidence and debate merits of party arguments. On September 28, 2025, the Court issued a first-instance decision, deciding that Acebright’s product does not fall within the scope of the patent-in-suit, and Acebright did not infringe the NERLYNX® Patents; the Court also decided that the Company’s enforcement efforts were not malicious and did not amount to unfair competition.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rFonts w:ascii="Times New Roman" w:hAnsi="Times New Roman"/>
          <w:caps w:val="false"/>
          <w:smallCaps w:val="false"/>
          <w:sz w:val="20"/>
        </w:rPr>
      </w:pPr>
      <w:r>
        <w:rPr>
          <w:rFonts w:ascii="Times New Roman" w:hAnsi="Times New Roman"/>
          <w:caps w:val="false"/>
          <w:smallCaps w:val="false"/>
          <w:sz w:val="20"/>
        </w:rPr>
        <w:t xml:space="preserve">60 </w:t>
      </w:r>
    </w:p>
    <w:p>
      <w:pPr>
        <w:pStyle w:val="HorizontalLine"/>
        <w:bidi w:val="0"/>
        <w:ind w:left="0" w:right="0" w:firstLine="540"/>
        <w:jc w:val="left"/>
        <w:rPr/>
      </w:pPr>
      <w:r>
        <w:rPr/>
      </w:r>
    </w:p>
    <w:p>
      <w:pPr>
        <w:pStyle w:val="TextBody"/>
        <w:bidi w:val="0"/>
        <w:ind w:left="0" w:right="0" w:firstLine="540"/>
        <w:jc w:val="left"/>
        <w:rPr/>
      </w:pPr>
      <w:hyperlink w:anchor="toc">
        <w:r>
          <w:rPr>
            <w:rStyle w:val="InternetLink"/>
            <w:rFonts w:ascii="Times New Roman;Times;serif" w:hAnsi="Times New Roman;Times;serif"/>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 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 On September 9, 2025, the NMPA approved Kelun’s ANDA to market a generic version of the Company’s NERLYNX® in China with the approval number of GuoYaoZhunZi H20255337.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on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11 are in active prosecution. The patentee response to the notice of opposition was filed on April 15, 2024, following which, all three opponents filed additional arguments in reply to the patentee’s submission. On February 6, 2025, the Company filed its response to the summons to attend oral proceedings, including six auxiliary requests. Alfred E. Tiefenbacher and Hexal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 stage hormone receptor-positive HER-2-overexpressed/amplified breast cancer. The first instance decision may be appealed. Hexal filed an appeal on June 6, 2025, Generics filed an appeal on June 20, 2025 and Wyeth filed an appeal on June 30, 2025. On September 5, 2025, Wyeth filed its grounds of appeal, including nine auxiliary requests. On the same day, Hexal filed its grounds of appeal. Generics filed its grounds of appeal on September 4, 2025, and Alfred E. Tiefenbacher filed its grounds of appeal on September 1, 2025. On December 16, 2025, Alfred E. Tiefenbacher withdrew its appeal. Wyeth responded to the opponents’ grounds of appeal on January 12, 2026. 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pStyle w:val="TextBody"/>
        <w:bidi w:val="0"/>
        <w:spacing w:before="0" w:after="0"/>
        <w:ind w:left="160" w:right="0" w:firstLine="4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430" w:type="dxa"/>
        <w:jc w:val="left"/>
        <w:tblInd w:w="0" w:type="dxa"/>
        <w:tblLayout w:type="fixed"/>
        <w:tblCellMar>
          <w:top w:w="0" w:type="dxa"/>
          <w:left w:w="0" w:type="dxa"/>
          <w:bottom w:w="0" w:type="dxa"/>
          <w:right w:w="0" w:type="dxa"/>
        </w:tblCellMar>
      </w:tblPr>
      <w:tblGrid>
        <w:gridCol w:w="740"/>
        <w:gridCol w:w="2690"/>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0" w:name="i4"/>
            <w:bookmarkEnd w:id="10"/>
            <w:r>
              <w:rPr>
                <w:rFonts w:ascii="Times New Roman" w:hAnsi="Times New Roman"/>
                <w:b/>
                <w:caps w:val="false"/>
                <w:smallCaps w:val="false"/>
                <w:sz w:val="20"/>
              </w:rPr>
              <w:t>ITEM 4.</w:t>
            </w:r>
          </w:p>
        </w:tc>
        <w:tc>
          <w:tcPr>
            <w:tcW w:w="26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MINE SAFETY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1" w:name="p2"/>
      <w:bookmarkEnd w:id="11"/>
      <w:r>
        <w:rPr>
          <w:rFonts w:ascii="Times New Roman" w:hAnsi="Times New Roman"/>
          <w:b/>
          <w:caps w:val="false"/>
          <w:smallCaps w:val="false"/>
          <w:sz w:val="20"/>
        </w:rPr>
        <w:t xml:space="preserve">PART II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
        <w:gridCol w:w="9479"/>
      </w:tblGrid>
      <w:tr>
        <w:trPr/>
        <w:tc>
          <w:tcPr>
            <w:tcW w:w="72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2" w:name="i5"/>
            <w:bookmarkEnd w:id="12"/>
            <w:r>
              <w:rPr>
                <w:rFonts w:ascii="Times New Roman" w:hAnsi="Times New Roman"/>
                <w:b/>
                <w:caps w:val="false"/>
                <w:smallCaps w:val="false"/>
                <w:sz w:val="20"/>
              </w:rPr>
              <w:t>ITEM 5.</w:t>
            </w:r>
          </w:p>
        </w:tc>
        <w:tc>
          <w:tcPr>
            <w:tcW w:w="94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MARKET FOR REGISTRANT’S COMMON EQUITY, RELATED STOCKHOLDER MATTERS AND ISSUER PURCHASES OF EQUITY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Market for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common stock has been quoted on the NASDAQ Global Select Market (“NASDAQ”), under the symbol “PBYI” since</w:t>
      </w:r>
      <w:r>
        <w:rPr>
          <w:rFonts w:ascii="Times New Roman" w:hAnsi="Times New Roman"/>
          <w:caps w:val="false"/>
          <w:smallCaps w:val="false"/>
          <w:sz w:val="20"/>
          <w:shd w:fill="FFFFFF" w:val="clear"/>
        </w:rPr>
        <w:t xml:space="preserve"> January 3, 2017. Prior to January 3, 2017, shares of our common stock had been listed on the New York Stock Exchange since October 19,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Record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of February 23, 2026, there were 9 holders of record of our common stock. This number does not include beneficial owners whose shares are held by nominees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capital stock. Currently, we anticipate that we will retain all available funds for use in the operation and expansion of our business and do not anticipate paying any cash dividends in the foreseeable future. Any future determination relating to dividend policy will be made at the discretion of our board of directors and will depend on our future earnings, capital requirements, financial condition, prospects, applicable Delaware law, which provides that dividends are only payable out of surplus or current net profits, and other factors that our board of directors deems relevant. Additionally, we are restricted from paying cash dividends under our Note Purchase Agreement with Athyrium.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Securities Authorized for Issuance Under Equity Compensation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information included under Item 12 of Part III of this Annual Report, “Securities Authorized for Issuance Under Equity Compensation Plans,” is hereby incorporated by reference into this Item 5 of Part II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Purchases of Equity Securities by the Issuer and Affiliated Purchasers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Performance Graph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graph and table below compare the cumulative total return of Puma Biotechnology common stock from December 31, 2020, through December 31, 2025, with the cumulative total returns on (i) the NASDAQ Biotechnology Index and (ii) the NASDAQ Composite Index. The comparison assumes investment of $100 on December 31, 2020, in our common stock and in each index and, for each index, assumes reinvestment of all 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historical price performance included below is not necessarily indicative of future stock price performance.</w:t>
      </w:r>
    </w:p>
    <w:p>
      <w:pPr>
        <w:pStyle w:val="TextBody"/>
        <w:bidi w:val="0"/>
        <w:spacing w:before="0" w:after="0"/>
        <w:jc w:val="center"/>
        <w:rPr/>
      </w:pPr>
      <w:r>
        <w:rPr/>
        <w:drawing>
          <wp:inline distT="0" distB="0" distL="0" distR="0">
            <wp:extent cx="9004300" cy="7480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04300" cy="7480300"/>
                    </a:xfrm>
                    <a:prstGeom prst="rect">
                      <a:avLst/>
                    </a:prstGeom>
                  </pic:spPr>
                </pic:pic>
              </a:graphicData>
            </a:graphic>
          </wp:inline>
        </w:drawing>
      </w:r>
    </w:p>
    <w:p>
      <w:pPr>
        <w:pStyle w:val="TextBody"/>
        <w:bidi w:val="0"/>
        <w:spacing w:before="0" w:after="0"/>
        <w:jc w:val="center"/>
        <w:rPr/>
      </w:pPr>
      <w:r>
        <w:rPr/>
        <w:t xml:space="preserve">  </w:t>
      </w:r>
    </w:p>
    <w:p>
      <w:pPr>
        <w:pStyle w:val="TextBody"/>
        <w:bidi w:val="0"/>
        <w:spacing w:before="0" w:after="0"/>
        <w:jc w:val="center"/>
        <w:rPr/>
      </w:pPr>
      <w:r>
        <w:rPr>
          <w:b/>
        </w:rPr>
        <w:t>Cumulative Total Return</w:t>
      </w:r>
      <w:r>
        <w:rPr/>
        <w:t xml:space="preserve"> </w:t>
      </w:r>
    </w:p>
    <w:tbl>
      <w:tblPr>
        <w:tblW w:w="8390" w:type="dxa"/>
        <w:jc w:val="left"/>
        <w:tblInd w:w="0" w:type="dxa"/>
        <w:tblLayout w:type="fixed"/>
        <w:tblCellMar>
          <w:top w:w="0" w:type="dxa"/>
          <w:left w:w="0" w:type="dxa"/>
          <w:bottom w:w="0" w:type="dxa"/>
          <w:right w:w="0" w:type="dxa"/>
        </w:tblCellMar>
      </w:tblPr>
      <w:tblGrid>
        <w:gridCol w:w="8390"/>
      </w:tblGrid>
      <w:tr>
        <w:trPr/>
        <w:tc>
          <w:tcPr>
            <w:tcW w:w="83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Puma Biotechnology, Inc. Compared to the Nasdaq Biotechnology Index and Nasdaq Composite Index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54" w:type="dxa"/>
        <w:jc w:val="left"/>
        <w:tblInd w:w="0" w:type="dxa"/>
        <w:tblLayout w:type="fixed"/>
        <w:tblCellMar>
          <w:top w:w="0" w:type="dxa"/>
          <w:left w:w="0" w:type="dxa"/>
          <w:bottom w:w="0" w:type="dxa"/>
          <w:right w:w="0" w:type="dxa"/>
        </w:tblCellMar>
      </w:tblPr>
      <w:tblGrid>
        <w:gridCol w:w="2615"/>
        <w:gridCol w:w="60"/>
        <w:gridCol w:w="71"/>
        <w:gridCol w:w="698"/>
        <w:gridCol w:w="60"/>
        <w:gridCol w:w="60"/>
        <w:gridCol w:w="770"/>
        <w:gridCol w:w="60"/>
        <w:gridCol w:w="60"/>
        <w:gridCol w:w="770"/>
        <w:gridCol w:w="60"/>
        <w:gridCol w:w="60"/>
        <w:gridCol w:w="770"/>
        <w:gridCol w:w="60"/>
        <w:gridCol w:w="60"/>
        <w:gridCol w:w="770"/>
        <w:gridCol w:w="60"/>
        <w:gridCol w:w="60"/>
        <w:gridCol w:w="770"/>
        <w:gridCol w:w="6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12/31/25</w:t>
            </w:r>
          </w:p>
        </w:tc>
        <w:tc>
          <w:tcPr>
            <w:tcW w:w="6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Puma Biotechnology, Inc.</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57.99</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NASDAQ Biotechnology Index</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124.75</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NASDAQ Composite Index</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187.14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material in this performance graph is not soliciting material, is not deemed filed with the SEC and is not incorporated by reference in any filing of the Company under the Exchange Act, whether made on, before or after the date of this filing and irrespective of any general incorporation language in such filing.</w:t>
      </w:r>
    </w:p>
    <w:p>
      <w:pPr>
        <w:pStyle w:val="TextBody"/>
        <w:bidi w:val="0"/>
        <w:spacing w:before="0" w:after="0"/>
        <w:ind w:left="0" w:right="0" w:hanging="0"/>
        <w:jc w:val="left"/>
        <w:rPr/>
      </w:pPr>
      <w:r>
        <w:rPr/>
        <w:t> </w:t>
      </w:r>
    </w:p>
    <w:tbl>
      <w:tblPr>
        <w:tblW w:w="1930" w:type="dxa"/>
        <w:jc w:val="left"/>
        <w:tblInd w:w="0" w:type="dxa"/>
        <w:tblLayout w:type="fixed"/>
        <w:tblCellMar>
          <w:top w:w="0" w:type="dxa"/>
          <w:left w:w="0" w:type="dxa"/>
          <w:bottom w:w="0" w:type="dxa"/>
          <w:right w:w="0" w:type="dxa"/>
        </w:tblCellMar>
      </w:tblPr>
      <w:tblGrid>
        <w:gridCol w:w="740"/>
        <w:gridCol w:w="1190"/>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3" w:name="item6reserved"/>
            <w:bookmarkEnd w:id="13"/>
            <w:r>
              <w:rPr>
                <w:rFonts w:ascii="Times New Roman" w:hAnsi="Times New Roman"/>
                <w:b/>
                <w:caps w:val="false"/>
                <w:smallCaps w:val="false"/>
                <w:sz w:val="20"/>
              </w:rPr>
              <w:t>ITEM 6.</w:t>
            </w:r>
          </w:p>
        </w:tc>
        <w:tc>
          <w:tcPr>
            <w:tcW w:w="119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7"/>
        <w:gridCol w:w="9468"/>
      </w:tblGrid>
      <w:tr>
        <w:trPr/>
        <w:tc>
          <w:tcPr>
            <w:tcW w:w="73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4" w:name="i7"/>
            <w:bookmarkEnd w:id="14"/>
            <w:r>
              <w:rPr>
                <w:rFonts w:ascii="Times New Roman" w:hAnsi="Times New Roman"/>
                <w:b/>
                <w:caps w:val="false"/>
                <w:smallCaps w:val="false"/>
                <w:sz w:val="20"/>
              </w:rPr>
              <w:t>ITEM 7.</w:t>
            </w:r>
          </w:p>
        </w:tc>
        <w:tc>
          <w:tcPr>
            <w:tcW w:w="946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MANAGEMENT’S DISCUSSION AND ANALYSIS OF FINANCIAL CONDITION AND RESULTS OF OPERATIONS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 xml:space="preserve">This Annual Report contains forward-looking statements within the meanings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Part I of this Annual Report. We caution the reader not to place undue reliance on these forward-looking statements, which reflect management’s analysis only as of the date of this Annual Report. We undertake no obligation to update forward-looking statements to reflect events or circumstances occurring after the date of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 cancers. Additionally, we have in-licensed, and are responsible for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 negative breast cancer and small cell lung cancer. We intend to pursue development of alisertib initially in small cell lung cancer and hormone receptor-positive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NERLYNX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currently market NERLYNX in the United States using our direct specialty sales force consisting of approximately 35 sales specialists. Our sales specialists are supported by an experienced sales leadership team consisting of five regional business leaders a Senior Vice President of Sales and a Senior Vice President of Marketing, as well as experienced professionals in marketing, managed markets, access and reimbursement, research, and sales planning and operations. Outside the United States, we seek to enter into exclusive sub-license agreements with third parties to pursue regulatory approval, if necessary, and commercialize NERLYNX, if approved. As of December 31, 2025, NERLYNX has received approval for the treatment of certain patients with extended adjuvant or metastatic HER2-positive breast cancer in over 40 countries outside the United States. We are currently party to several sub-licenses in various regions outside the United States, including Europe (excluding Ukraine), Australia, Canada, China, Southeast Asia, Israel, South Korea, Russia and various countries and territories in Central America,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an exclusive license agreement with Takeda to license the worldwide research and development and commercial rights to alisertib. Alisertib is an investigational, reversible, ATP-competitive inhibitor that is designed to be highly selective for Aurora Kinase A. Inhibition of Aurora Kinase A can lead to disruption of mitotic spindle apparatus assembly, disruption of chromosome segregation, and inhibition of cell proliferation. In clinical trials to date, alisertib has shown single agent activity and activity in combination with other cancer drugs in the treatment of many different types of cancers, including hormone receptor-positive breast cancer, triple negative breast cancer, small cell lung cancer and head and neck cancer. We initiated the ALISertib in CAncer (ALISCA™ -Lung1) Phase II trial (PUMA-ALI-4201) of alisertib monotherapy for the treatment of patients with extensive stage small cell lung cancer in February 2024, and we commenced the ALISCA™ -Breast1 Phase II trial (PUMA-ALI-1201) in 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Under the terms of the exclusive license agreement, we assumed sole responsibility for the global development and commercialization of alisertib. We paid Takeda an upfront license fee of $7.0 million in October 2022</w:t>
      </w:r>
      <w:r>
        <w:rPr>
          <w:rFonts w:ascii="Times New Roman" w:hAnsi="Times New Roman"/>
          <w:caps w:val="false"/>
          <w:smallCaps w:val="false"/>
          <w:sz w:val="20"/>
          <w:u w:val="single"/>
        </w:rPr>
        <w:t>,</w:t>
      </w:r>
      <w:r>
        <w:rPr>
          <w:rFonts w:ascii="Times New Roman" w:hAnsi="Times New Roman"/>
          <w:caps w:val="false"/>
          <w:smallCaps w:val="false"/>
          <w:sz w:val="20"/>
        </w:rPr>
        <w:t xml:space="preserve"> and it is eligible to receive potential future milestone payments of up to $287.3 million upon our achievement of certain regulatory and commercial milestones over the course of the exclusive license agreement, as well as tiered royalty payments for any net sales of alisertib. We recorded in-process research and development expense of $7.0 million during the year ended December 31, 2022, in connection with the upfront payment related to the asset acquisition. As of December 31, 2025, no milestones had been accrued as the underlying contingencies were not probable or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Our expenses to date have been related to hiring staff, commencing company-sponsored clinical trials, building out of our corporate infrastructure and, since 2017, the commercial launch of NERLYNX. Going forward, we anticipate significant expenses as we continue to develop alisertib in 2026. Accordingly, our success depends not only on the safety and efficacy of our drug candidates, but also on our ability to finance product development. To date, our major sources of working capital have been proceeds from product and license revenue, public offerings of our common stock, proceeds from our credit facility and sales of our common stock in private placements. We intend to satisfy our near-term liquidity requirements through a combination of our existing cash and cash equivalents and marketable securities as of December 31, 2025, and proceeds that will become available to us through product sales, royalties and sub-license milestone payments. However, this intention is based on assumptions that may prove to be wrong. Changes may occur that would consume our available capital faster than anticipated, including changes in and progress of our development activities, the impact of commercialization efforts, acquisitions of additional drug candidates and changes in regulation. Some of these developments have had and may continue to have an adverse effect on our revenue and thus could have an adverse effect on our ability to satisfy the minimum revenue and cash balance covenants contained in the Athyrium Notes.</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We do not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 xml:space="preserve">On July 4, 2025, the “One Big Beautiful Bill” was signed into law, which includes significant changes to federal tax law and other regulatory provisions that may impact us. As of the date of these financial statements, we have evaluated the impact of the changes to Section 174 – </w:t>
      </w:r>
      <w:r>
        <w:rPr>
          <w:rFonts w:ascii="Times New Roman" w:hAnsi="Times New Roman"/>
          <w:i/>
          <w:caps w:val="false"/>
          <w:smallCaps w:val="false"/>
          <w:sz w:val="20"/>
        </w:rPr>
        <w:t xml:space="preserve">Amortization of Research and Experimental Expenditures </w:t>
      </w:r>
      <w:r>
        <w:rPr>
          <w:rFonts w:ascii="Times New Roman" w:hAnsi="Times New Roman"/>
          <w:caps w:val="false"/>
          <w:smallCaps w:val="false"/>
          <w:sz w:val="20"/>
        </w:rPr>
        <w:t>on the valuation allowance release. We intend to deduct the capitalized costs over two years. This deduction reduces the amount of net operating losses being utilized but results in a net zero change to th</w:t>
      </w:r>
      <w:r>
        <w:rPr>
          <w:rFonts w:ascii="Times New Roman" w:hAnsi="Times New Roman"/>
          <w:caps w:val="false"/>
          <w:smallCaps w:val="false"/>
          <w:sz w:val="20"/>
          <w:shd w:fill="FFFFFF" w:val="clear"/>
        </w:rPr>
        <w:t>e deferred tax asset balance. In 2</w:t>
      </w:r>
      <w:r>
        <w:rPr>
          <w:rFonts w:ascii="Times New Roman" w:hAnsi="Times New Roman"/>
          <w:caps w:val="false"/>
          <w:smallCaps w:val="false"/>
          <w:sz w:val="20"/>
        </w:rPr>
        <w:t>025, we adjusted a portion of our valuation allowance related to our deferred tax assets in the amoun</w:t>
      </w:r>
      <w:r>
        <w:rPr>
          <w:rFonts w:ascii="Times New Roman" w:hAnsi="Times New Roman"/>
          <w:caps w:val="false"/>
          <w:smallCaps w:val="false"/>
          <w:sz w:val="20"/>
          <w:shd w:fill="FFFFFF" w:val="clear"/>
        </w:rPr>
        <w:t>t of $3.8 million, w</w:t>
      </w:r>
      <w:r>
        <w:rPr>
          <w:rFonts w:ascii="Times New Roman" w:hAnsi="Times New Roman"/>
          <w:caps w:val="false"/>
          <w:smallCaps w:val="false"/>
          <w:sz w:val="20"/>
        </w:rPr>
        <w:t>hich reduced our net income for the year.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Summary of Income and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Product revenue, net consists of revenue from sales of NERLYNX. We sell NERLYNX to a limited number of specialty pharmacies and specialty distributors in the United States. We record revenue at the net sales price, which includes an estimate for variable consideration for which reserves are established. Variable consideration consists of trade discounts and allowances, product returns, provider chargebacks and discounts, government rebates and other incentives.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License revenue consists of consideration earned for performance obligations satisfied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Royalty revenue consists of consideration earned related to product sales made by our sub-licensees in their respective territories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Cost of sales consists of third-party manufacturing costs, freight, and indirect overhead costs associated with sales of NERLYNX. Cost of product sales also includes period costs related to royalty charges payable to Pfizer, the amortization of milestone payments made under our license agreement with Pfizer, certain inventory manufacturing services, inventory adjustment charges, unabsorbed manufacturing and overhead costs, and manufacturing variances. Cost of sales includes applicable license termination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(“SG&amp;A expenses”), consist primarily of salaries and payroll-related costs, stock-based compensation expense, professional fees, business insurance, rent, general legal activities, credit loss expense and other corporate expenses. We expense SG&amp;A expenses as they are incurred.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Research and development expenses (“R&amp;D expenses”) include costs associated with services provided by consultants who conduct and perform clinical services on our behalf and contract organizations for the manufacturing of clinical materials. During the years ended December 31, 2025, 2024 and 2023, our R&amp;D expenses consisted primarily of CRO fees, manufacturing of clinical materials, fees paid to consultants, salaries and related personnel costs and stock-based compensation. We expense our R&amp;D expenses as they are incurred. Internal R&amp;D expenses primarily consist of payroll-related costs and also include equipment costs, travel expenses and supplies. We expect R&amp;D expenses </w:t>
      </w:r>
      <w:r>
        <w:rPr>
          <w:rFonts w:ascii="Times New Roman" w:hAnsi="Times New Roman"/>
          <w:caps w:val="false"/>
          <w:smallCaps w:val="false"/>
          <w:sz w:val="20"/>
          <w:shd w:fill="FFFFFF" w:val="clear"/>
        </w:rPr>
        <w:t>to increase in 2026 as we expand the development of alisertib.</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Reclassifications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Certain prior year amounts in the Consolidated Statements of Cash Flows have been reclassified to correct an error in the prior year's presentation. Specifically, for the year ended December 31, 2024, a change in deferred tax assets of $7.1 million was previously classified within "Changes in operating assets and liabilities." This amount has been reclassified to non-cash items within the operating activities section of the Consolidated Statements of Cash Flows. This reclassification had no impact on the total net cash provided by (used in) operating activities, net income, or the Consolidated Balance Sheets for any period presented.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summarizes our results of operations for the years ended December 31, 2025 and 2024. For discussion related to the results of operations and changes in financial condition for the year ended December 31, 2024, compared to the year ended December 31, 2023, please refer to Item 7 of Part II, “Management’s Discussion and Analysis of Financial Condition and Results of Operations” in our Annual Report on Form 10-K for the year ended December 31, 2024, which was filed with the SEC on February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Total revenue was approximately $228.4 million for the year ended December 31, 2025, compared to $230.5 million for the year ended December 31, 2024. This decrease in total revenue of $2.1 million was due to a decrease in royalty revenue of $11.0 million, partially offset by an increase in product revenue, net of approximately $8.9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Product revenue, net was approximately </w:t>
      </w:r>
      <w:r>
        <w:rPr>
          <w:rFonts w:ascii="Times New Roman" w:hAnsi="Times New Roman"/>
          <w:caps w:val="false"/>
          <w:smallCaps w:val="false"/>
          <w:sz w:val="20"/>
        </w:rPr>
        <w:t>$204.1</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compared to </w:t>
      </w:r>
      <w:r>
        <w:rPr>
          <w:rFonts w:ascii="Times New Roman" w:hAnsi="Times New Roman"/>
          <w:caps w:val="false"/>
          <w:smallCaps w:val="false"/>
          <w:sz w:val="20"/>
        </w:rPr>
        <w:t>$195.2</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 The increase in product revenue, net was primarily attributable to a volume increase of approximately 5.5% in bottles of NERLYNX sold and an increase in net selling price. Reserves for variable consideration were approximately 24.3% and 19.5% of product revenue for the years ended December 31, 2025 and 2024, respectively. The increase in the variable consideration (gross-to-net reserve) was primarily due to government chargebacks and payor mix.</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There was no license revenue for the years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and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Royalty revenue was approximately </w:t>
      </w:r>
      <w:r>
        <w:rPr>
          <w:rFonts w:ascii="Times New Roman" w:hAnsi="Times New Roman"/>
          <w:caps w:val="false"/>
          <w:smallCaps w:val="false"/>
          <w:sz w:val="20"/>
        </w:rPr>
        <w:t>$24.3</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$35.3</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 The decrease was due to decreased product sales by our sub-licensees in international territories, primarily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Cost of sales was approximately </w:t>
      </w:r>
      <w:r>
        <w:rPr>
          <w:rFonts w:ascii="Times New Roman" w:hAnsi="Times New Roman"/>
          <w:caps w:val="false"/>
          <w:smallCaps w:val="false"/>
          <w:sz w:val="20"/>
        </w:rPr>
        <w:t>$58.2</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$64.4</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 The $6.2 million decrease was primarily due to the decrease of product unit sales to our sub-licensees and the related cost of sales (primarily sales in China), partially offset by higher domestic sales.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firstLine="20"/>
        <w:jc w:val="left"/>
        <w:rPr>
          <w:caps w:val="false"/>
          <w:smallCaps w:val="false"/>
        </w:rPr>
      </w:pPr>
      <w:r>
        <w:rPr>
          <w:caps w:val="false"/>
          <w:smallCaps w:val="false"/>
        </w:rPr>
        <w:t> </w:t>
      </w:r>
    </w:p>
    <w:tbl>
      <w:tblPr>
        <w:tblW w:w="7861" w:type="dxa"/>
        <w:jc w:val="left"/>
        <w:tblInd w:w="0" w:type="dxa"/>
        <w:tblLayout w:type="fixed"/>
        <w:tblCellMar>
          <w:top w:w="0" w:type="dxa"/>
          <w:left w:w="0" w:type="dxa"/>
          <w:bottom w:w="0" w:type="dxa"/>
          <w:right w:w="0" w:type="dxa"/>
        </w:tblCellMar>
      </w:tblPr>
      <w:tblGrid>
        <w:gridCol w:w="3815"/>
        <w:gridCol w:w="60"/>
        <w:gridCol w:w="134"/>
        <w:gridCol w:w="633"/>
        <w:gridCol w:w="85"/>
        <w:gridCol w:w="64"/>
        <w:gridCol w:w="134"/>
        <w:gridCol w:w="633"/>
        <w:gridCol w:w="80"/>
        <w:gridCol w:w="60"/>
        <w:gridCol w:w="148"/>
        <w:gridCol w:w="771"/>
        <w:gridCol w:w="80"/>
        <w:gridCol w:w="60"/>
        <w:gridCol w:w="110"/>
        <w:gridCol w:w="809"/>
        <w:gridCol w:w="185"/>
      </w:tblGrid>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Payroll and related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34,662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(362</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and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19,060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meetings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costs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70,847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Total SG&amp;A expenses were approximately $70.8 million and $80.2 million for the years ended December 31, 2025 and December 31, 2024. The decrease is primarily attributable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payroll and related costs</w:t>
            </w:r>
            <w:r>
              <w:rPr>
                <w:rFonts w:ascii="Times New Roman" w:hAnsi="Times New Roman"/>
                <w:sz w:val="20"/>
                <w:shd w:fill="FFFFFF" w:val="clear"/>
              </w:rPr>
              <w:t xml:space="preserve"> of approximately </w:t>
            </w:r>
            <w:r>
              <w:rPr>
                <w:rFonts w:ascii="Times New Roman" w:hAnsi="Times New Roman"/>
                <w:sz w:val="20"/>
              </w:rPr>
              <w:t>$3.1 million</w:t>
            </w:r>
            <w:r>
              <w:rPr>
                <w:rFonts w:ascii="Times New Roman" w:hAnsi="Times New Roman"/>
                <w:sz w:val="20"/>
                <w:shd w:fill="FFFFFF" w:val="clear"/>
              </w:rPr>
              <w:t>,</w:t>
            </w:r>
            <w:r>
              <w:rPr>
                <w:rFonts w:ascii="Times New Roman" w:hAnsi="Times New Roman"/>
                <w:sz w:val="20"/>
              </w:rPr>
              <w:t> due t</w:t>
            </w:r>
            <w:r>
              <w:rPr>
                <w:rFonts w:ascii="Times New Roman" w:hAnsi="Times New Roman"/>
                <w:sz w:val="20"/>
                <w:shd w:fill="FFFFFF" w:val="clear"/>
              </w:rPr>
              <w:t>o severance costs related to the departure of our Chief Commercial Officer, an increase in our commercial team compensation, merit increases and increases in our healthcare insurance premiums;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shd w:fill="FFFFFF" w:val="clear"/>
              </w:rPr>
              <w:t>a decrease in </w:t>
            </w:r>
            <w:r>
              <w:rPr>
                <w:rFonts w:ascii="Times New Roman" w:hAnsi="Times New Roman"/>
                <w:sz w:val="20"/>
              </w:rPr>
              <w:t>provision for credit loss recovery</w:t>
            </w:r>
            <w:r>
              <w:rPr>
                <w:rFonts w:ascii="Times New Roman" w:hAnsi="Times New Roman"/>
                <w:sz w:val="20"/>
                <w:shd w:fill="FFFFFF" w:val="clear"/>
              </w:rPr>
              <w:t xml:space="preserve"> of approximately </w:t>
            </w:r>
            <w:r>
              <w:rPr>
                <w:rFonts w:ascii="Times New Roman" w:hAnsi="Times New Roman"/>
                <w:sz w:val="20"/>
              </w:rPr>
              <w:t>$0.2 million</w:t>
            </w:r>
            <w:r>
              <w:rPr>
                <w:rFonts w:ascii="Times New Roman" w:hAnsi="Times New Roman"/>
                <w:sz w:val="20"/>
                <w:shd w:fill="FFFFFF" w:val="clear"/>
              </w:rPr>
              <w:t>, primarily related to the payment history of a customer receivable;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35" w:type="dxa"/>
            <w:tcBorders/>
            <w:vAlign w:val="center"/>
          </w:tcPr>
          <w:p>
            <w:pPr>
              <w:pStyle w:val="TableContents"/>
              <w:bidi w:val="0"/>
              <w:spacing w:before="0" w:after="283"/>
              <w:jc w:val="left"/>
              <w:rPr>
                <w:rFonts w:ascii="Times New Roman" w:hAnsi="Times New Roman"/>
                <w:sz w:val="20"/>
                <w:shd w:fill="FFFFFF" w:val="clear"/>
              </w:rPr>
            </w:pPr>
            <w:r>
              <w:rPr>
                <w:rFonts w:ascii="Times New Roman" w:hAnsi="Times New Roman"/>
                <w:sz w:val="20"/>
                <w:shd w:fill="FFFFFF" w:val="clear"/>
              </w:rPr>
              <w:t>a decrease in professional fees and expenses of approximately $10.8 million, primarily related to legal fees associated with the AstraZeneca litigation in the prior year;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 decrease in</w:t>
            </w:r>
            <w:r>
              <w:rPr>
                <w:rFonts w:ascii="Times New Roman" w:hAnsi="Times New Roman"/>
                <w:sz w:val="20"/>
                <w:shd w:fill="FFFFFF" w:val="clear"/>
              </w:rPr>
              <w:t> </w:t>
            </w:r>
            <w:r>
              <w:rPr>
                <w:rFonts w:ascii="Times New Roman" w:hAnsi="Times New Roman"/>
                <w:sz w:val="20"/>
              </w:rPr>
              <w:t>stock-based compensation</w:t>
            </w:r>
            <w:r>
              <w:rPr>
                <w:rFonts w:ascii="Times New Roman" w:hAnsi="Times New Roman"/>
                <w:sz w:val="20"/>
                <w:shd w:fill="FFFFFF" w:val="clear"/>
              </w:rPr>
              <w:t xml:space="preserve"> expense of approximately </w:t>
            </w:r>
            <w:r>
              <w:rPr>
                <w:rFonts w:ascii="Times New Roman" w:hAnsi="Times New Roman"/>
                <w:sz w:val="20"/>
              </w:rPr>
              <w:t>$1.3 million</w:t>
            </w:r>
            <w:r>
              <w:rPr>
                <w:rFonts w:ascii="Times New Roman" w:hAnsi="Times New Roman"/>
                <w:sz w:val="20"/>
                <w:shd w:fill="FFFFFF" w:val="clear"/>
              </w:rPr>
              <w:t> due to the departure of an executive in 2025 and lower fair value on equity grants due to lower market price for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3065"/>
        <w:gridCol w:w="60"/>
        <w:gridCol w:w="135"/>
        <w:gridCol w:w="641"/>
        <w:gridCol w:w="65"/>
        <w:gridCol w:w="65"/>
        <w:gridCol w:w="135"/>
        <w:gridCol w:w="641"/>
        <w:gridCol w:w="60"/>
        <w:gridCol w:w="60"/>
        <w:gridCol w:w="188"/>
        <w:gridCol w:w="731"/>
        <w:gridCol w:w="80"/>
        <w:gridCol w:w="60"/>
        <w:gridCol w:w="125"/>
        <w:gridCol w:w="794"/>
        <w:gridCol w:w="185"/>
      </w:tblGrid>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20,538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R&amp;D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and contractors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62,068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Total R&amp;D expenses were approximately $62.1 million and $54.9 million for the years ended December 31, 2025 and December 31, 2024. The increase is primarily attributable to the following:</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10"/>
        <w:gridCol w:w="98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clinical trial expense of approximately $3.4 million, primarily</w:t>
            </w:r>
            <w:r>
              <w:rPr>
                <w:rFonts w:ascii="Times New Roman" w:hAnsi="Times New Roman"/>
                <w:sz w:val="20"/>
                <w:shd w:fill="FFFFFF" w:val="clear"/>
              </w:rPr>
              <w:t xml:space="preserve"> due to expanded alisertib development; and</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110"/>
        <w:gridCol w:w="9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consultants and contractors of approxim</w:t>
            </w:r>
            <w:r>
              <w:rPr>
                <w:rFonts w:ascii="Times New Roman;Times;serif" w:hAnsi="Times New Roman;Times;serif"/>
                <w:sz w:val="20"/>
                <w:shd w:fill="FFFFFF" w:val="clear"/>
              </w:rPr>
              <w:t>ately $1.5 million,</w:t>
            </w:r>
            <w:r>
              <w:rPr>
                <w:rFonts w:ascii="Times New Roman;Times;serif" w:hAnsi="Times New Roman;Times;serif"/>
                <w:sz w:val="20"/>
              </w:rPr>
              <w:t> pri</w:t>
            </w:r>
            <w:r>
              <w:rPr>
                <w:rFonts w:ascii="Times New Roman;Times;serif" w:hAnsi="Times New Roman;Times;serif"/>
                <w:sz w:val="20"/>
                <w:shd w:fill="FFFFFF" w:val="clear"/>
              </w:rPr>
              <w:t>marily due to expanded alisertib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income and expenses:</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2075"/>
        <w:gridCol w:w="60"/>
        <w:gridCol w:w="132"/>
        <w:gridCol w:w="579"/>
        <w:gridCol w:w="85"/>
        <w:gridCol w:w="63"/>
        <w:gridCol w:w="132"/>
        <w:gridCol w:w="691"/>
        <w:gridCol w:w="80"/>
        <w:gridCol w:w="60"/>
        <w:gridCol w:w="188"/>
        <w:gridCol w:w="731"/>
        <w:gridCol w:w="80"/>
        <w:gridCol w:w="60"/>
        <w:gridCol w:w="110"/>
        <w:gridCol w:w="809"/>
        <w:gridCol w:w="185"/>
      </w:tblGrid>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income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(6,622</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we recognized approximately $4.1 million in interest income compared to approximately $4.7 million of interest income for the year ended December 31, 2024. The $0.6 </w:t>
      </w:r>
      <w:r>
        <w:rPr>
          <w:rFonts w:ascii="Times New Roman" w:hAnsi="Times New Roman"/>
          <w:caps w:val="false"/>
          <w:smallCaps w:val="false"/>
          <w:sz w:val="20"/>
          <w:shd w:fill="FFFFFF" w:val="clear"/>
        </w:rPr>
        <w:t>million decrease in interest income was primarily the result of lower interest rates and timing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we recognized approximately </w:t>
      </w:r>
      <w:r>
        <w:rPr>
          <w:rFonts w:ascii="Times New Roman" w:hAnsi="Times New Roman"/>
          <w:caps w:val="false"/>
          <w:smallCaps w:val="false"/>
          <w:sz w:val="20"/>
        </w:rPr>
        <w:t>$6.6</w:t>
      </w:r>
      <w:r>
        <w:rPr>
          <w:rFonts w:ascii="Times New Roman" w:hAnsi="Times New Roman"/>
          <w:caps w:val="false"/>
          <w:smallCaps w:val="false"/>
          <w:sz w:val="20"/>
          <w:shd w:fill="FFFFFF" w:val="clear"/>
        </w:rPr>
        <w:t xml:space="preserve"> million in interest expense compared to approximately </w:t>
      </w:r>
      <w:r>
        <w:rPr>
          <w:rFonts w:ascii="Times New Roman" w:hAnsi="Times New Roman"/>
          <w:caps w:val="false"/>
          <w:smallCaps w:val="false"/>
          <w:sz w:val="20"/>
        </w:rPr>
        <w:t>$12.5</w:t>
      </w:r>
      <w:r>
        <w:rPr>
          <w:rFonts w:ascii="Times New Roman" w:hAnsi="Times New Roman"/>
          <w:caps w:val="false"/>
          <w:smallCaps w:val="false"/>
          <w:sz w:val="20"/>
          <w:shd w:fill="FFFFFF" w:val="clear"/>
        </w:rPr>
        <w:t xml:space="preserve"> million of interest expense for the year ended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 The approximately </w:t>
      </w:r>
      <w:r>
        <w:rPr>
          <w:rFonts w:ascii="Times New Roman" w:hAnsi="Times New Roman"/>
          <w:caps w:val="false"/>
          <w:smallCaps w:val="false"/>
          <w:sz w:val="20"/>
        </w:rPr>
        <w:t>$5.8</w:t>
      </w:r>
      <w:r>
        <w:rPr>
          <w:rFonts w:ascii="Times New Roman" w:hAnsi="Times New Roman"/>
          <w:caps w:val="false"/>
          <w:smallCaps w:val="false"/>
          <w:sz w:val="20"/>
          <w:shd w:fill="FFFFFF" w:val="clear"/>
        </w:rPr>
        <w:t> million decrease in interest expense was primarily related to a lower debt balance related to the pay down our debt principal during the year ended December 31, 2025.</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Other income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we recognized approximately $1.0 million in other income, compared to $0.9 million in other income for the year ended December 31, 2024. The increase was primarily due to increased sublease income.</w:t>
      </w:r>
    </w:p>
    <w:p>
      <w:pPr>
        <w:pStyle w:val="TextBody"/>
        <w:bidi w:val="0"/>
        <w:spacing w:before="0" w:after="0"/>
        <w:ind w:left="16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sz w:val="20"/>
          <w:shd w:fill="FFFFFF" w:val="clear"/>
        </w:rPr>
      </w:pPr>
      <w:r>
        <w:rPr>
          <w:rFonts w:ascii="Times New Roman" w:hAnsi="Times New Roman"/>
          <w:i/>
          <w:sz w:val="20"/>
          <w:shd w:fill="FFFFFF" w:val="clear"/>
        </w:rPr>
        <w:t>Current tax expense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$0.5 million increase in current tax expense is materially consistent with the increase in net income before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shd w:fill="FFFFFF" w:val="clear"/>
        </w:rPr>
      </w:pPr>
      <w:r>
        <w:rPr>
          <w:rFonts w:ascii="Times New Roman" w:hAnsi="Times New Roman"/>
          <w:i/>
          <w:sz w:val="20"/>
          <w:shd w:fill="FFFFFF" w:val="clear"/>
        </w:rPr>
        <w:t>Deferred income tax expense (benefit)</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the fourth quarter of 2025, Puma recorded a $7.1 million income tax expense, offset by a $3.8 million partial release of a valuation allowance resulting in a non-cash, deferred tax expense of approximately $3.2 million. In 2024, we released a portion of our valuation allowance related to our deferred tax assets in the amount of $7.1 million, which significantly increased our net income for the year.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Non-GAAP Financial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to our operating results, as calculated in accordance with generally accepted accounting principles in the United States, (“GAAP”), we use certain non-GAAP financial measures when planning, monitoring, and evaluating our operational performance. The following table presents our net income and net income per share, as calculated in accordance with GAAP, as adjusted to remove the impact of stock-based compensation. For the year ended December 31, 2025, stock-based compensation represented approximately 5.2% of the total of SG&amp;A and R&amp;D expenses. Our management believes that these non-GAAP financial measures are useful to enhance understanding of our financial performance, are more indicative of our operational performance and facilitate a better comparison among fiscal periods. These non-GAAP financial measures are not, and should not be viewed as, substitutes for GAAP reporting measures.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Net Income to Non-GAAP Adjusted Net Income and GAAP Net Income Per Share to Non-GAAP Adjusted Net Income Per Share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7256" w:type="dxa"/>
        <w:jc w:val="left"/>
        <w:tblInd w:w="0" w:type="dxa"/>
        <w:tblLayout w:type="fixed"/>
        <w:tblCellMar>
          <w:top w:w="0" w:type="dxa"/>
          <w:left w:w="0" w:type="dxa"/>
          <w:bottom w:w="0" w:type="dxa"/>
          <w:right w:w="0" w:type="dxa"/>
        </w:tblCellMar>
      </w:tblPr>
      <w:tblGrid>
        <w:gridCol w:w="4010"/>
        <w:gridCol w:w="60"/>
        <w:gridCol w:w="200"/>
        <w:gridCol w:w="948"/>
        <w:gridCol w:w="96"/>
        <w:gridCol w:w="393"/>
        <w:gridCol w:w="96"/>
        <w:gridCol w:w="200"/>
        <w:gridCol w:w="948"/>
        <w:gridCol w:w="60"/>
        <w:gridCol w:w="245"/>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December 31,</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center"/>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31,111</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30,278</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(1)</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(2)</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38,055</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38,523</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per share—basic</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net income (as detailed above)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basic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0.76</w:t>
            </w:r>
          </w:p>
        </w:tc>
        <w:tc>
          <w:tcPr>
            <w:tcW w:w="96"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0.79</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center"/>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per share—diluted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9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center"/>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net income (as detailed above)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center"/>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diluted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96"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0.78</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To reflect a non-cash charge to operating expense for selling, general, and administrative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To reflect a non-cash charge to operating expense for research and development stock-based compensation.</w:t>
            </w:r>
          </w:p>
        </w:tc>
      </w:tr>
      <w:tr>
        <w:trPr/>
        <w:tc>
          <w:tcPr>
            <w:tcW w:w="10205" w:type="dxa"/>
            <w:tcBorders/>
            <w:vAlign w:val="center"/>
          </w:tcPr>
          <w:p>
            <w:pPr>
              <w:pStyle w:val="TableContents"/>
              <w:bidi w:val="0"/>
              <w:spacing w:before="0" w:after="283"/>
              <w:jc w:val="left"/>
              <w:rPr/>
            </w:pPr>
            <w:r>
              <w:rPr/>
              <w:t>(3) Non-GAAP adjusted basic net income per share was calculated based on 50,011,485 and 48,648,701 weighted-average shares of common stock outstanding for the years ended December 31, 2025 and 2024, respectively.</w:t>
            </w:r>
          </w:p>
        </w:tc>
      </w:tr>
      <w:tr>
        <w:trPr/>
        <w:tc>
          <w:tcPr>
            <w:tcW w:w="10205" w:type="dxa"/>
            <w:tcBorders/>
            <w:vAlign w:val="center"/>
          </w:tcPr>
          <w:p>
            <w:pPr>
              <w:pStyle w:val="TableContents"/>
              <w:bidi w:val="0"/>
              <w:spacing w:before="0" w:after="283"/>
              <w:jc w:val="left"/>
              <w:rPr/>
            </w:pPr>
            <w:r>
              <w:rPr/>
              <w:t>(4) Non-GAAP adjusted diluted net income per share was calculated based on 50,653,283 and 49,100,433 weighted-average shares of common stock outstanding for the years ended December 31,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liquidity and capital resources as of and for the years ended December 31, 2025 and 2024 and is intended to supplement the more detailed discussion that follows:</w:t>
      </w:r>
    </w:p>
    <w:p>
      <w:pPr>
        <w:pStyle w:val="TextBody"/>
        <w:bidi w:val="0"/>
        <w:spacing w:before="0" w:after="0"/>
        <w:ind w:left="0" w:right="0" w:hanging="0"/>
        <w:jc w:val="left"/>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3875"/>
        <w:gridCol w:w="60"/>
        <w:gridCol w:w="249"/>
        <w:gridCol w:w="1390"/>
        <w:gridCol w:w="60"/>
        <w:gridCol w:w="60"/>
        <w:gridCol w:w="284"/>
        <w:gridCol w:w="1355"/>
        <w:gridCol w:w="6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69,219</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31,746</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51,547</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45,329</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21,719</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20"/>
        <w:jc w:val="left"/>
        <w:rPr>
          <w:rFonts w:ascii="Times New Roman" w:hAnsi="Times New Roman"/>
          <w:sz w:val="20"/>
        </w:rPr>
      </w:pPr>
      <w:r>
        <w:rPr>
          <w:rFonts w:ascii="Times New Roman" w:hAnsi="Times New Roman"/>
          <w:sz w:val="20"/>
        </w:rPr>
        <w:t>The following table summarizes our cash flows (uses) for the years ended December 31, 2025 and 2024</w:t>
      </w:r>
    </w:p>
    <w:p>
      <w:pPr>
        <w:pStyle w:val="TextBody"/>
        <w:bidi w:val="0"/>
        <w:spacing w:before="0" w:after="0"/>
        <w:ind w:left="0" w:right="0" w:hanging="0"/>
        <w:jc w:val="left"/>
        <w:rPr/>
      </w:pPr>
      <w:r>
        <w:rPr/>
        <w:t> </w:t>
      </w:r>
    </w:p>
    <w:tbl>
      <w:tblPr>
        <w:tblW w:w="8198" w:type="dxa"/>
        <w:jc w:val="left"/>
        <w:tblInd w:w="0" w:type="dxa"/>
        <w:tblLayout w:type="fixed"/>
        <w:tblCellMar>
          <w:top w:w="0" w:type="dxa"/>
          <w:left w:w="0" w:type="dxa"/>
          <w:bottom w:w="0" w:type="dxa"/>
          <w:right w:w="0" w:type="dxa"/>
        </w:tblCellMar>
      </w:tblPr>
      <w:tblGrid>
        <w:gridCol w:w="4640"/>
        <w:gridCol w:w="60"/>
        <w:gridCol w:w="264"/>
        <w:gridCol w:w="1375"/>
        <w:gridCol w:w="80"/>
        <w:gridCol w:w="60"/>
        <w:gridCol w:w="264"/>
        <w:gridCol w:w="1375"/>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38,918</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3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3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We recorded net income of approximately $31.1 million and $30.3 million for the years ended </w:t>
      </w:r>
      <w:r>
        <w:rPr>
          <w:rFonts w:ascii="Times New Roman" w:hAnsi="Times New Roman"/>
          <w:caps w:val="false"/>
          <w:smallCaps w:val="false"/>
          <w:sz w:val="20"/>
        </w:rPr>
        <w:t>December 31, 2025 and 2024</w:t>
      </w:r>
      <w:r>
        <w:rPr>
          <w:rFonts w:ascii="Times New Roman" w:hAnsi="Times New Roman"/>
          <w:caps w:val="false"/>
          <w:smallCaps w:val="false"/>
          <w:sz w:val="20"/>
          <w:shd w:fill="FFFFFF" w:val="clear"/>
        </w:rPr>
        <w:t>, respectively. We recorded cash flows from operating activities of approximately </w:t>
      </w:r>
      <w:r>
        <w:rPr>
          <w:rFonts w:ascii="Times New Roman" w:hAnsi="Times New Roman"/>
          <w:caps w:val="false"/>
          <w:smallCaps w:val="false"/>
          <w:sz w:val="20"/>
        </w:rPr>
        <w:t>$41.8</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and recorded cash flows from operating activities of approximately </w:t>
      </w:r>
      <w:r>
        <w:rPr>
          <w:rFonts w:ascii="Times New Roman" w:hAnsi="Times New Roman"/>
          <w:caps w:val="false"/>
          <w:smallCaps w:val="false"/>
          <w:sz w:val="20"/>
        </w:rPr>
        <w:t>$38.9</w:t>
      </w:r>
      <w:r>
        <w:rPr>
          <w:rFonts w:ascii="Times New Roman" w:hAnsi="Times New Roman"/>
          <w:caps w:val="false"/>
          <w:smallCaps w:val="false"/>
          <w:sz w:val="20"/>
          <w:shd w:fill="FFFFFF" w:val="clear"/>
        </w:rPr>
        <w:t xml:space="preserve"> million for the year ended </w:t>
      </w:r>
      <w:r>
        <w:rPr>
          <w:rFonts w:ascii="Times New Roman" w:hAnsi="Times New Roman"/>
          <w:caps w:val="false"/>
          <w:smallCaps w:val="false"/>
          <w:sz w:val="20"/>
        </w:rPr>
        <w:t>December 31, 2024</w:t>
      </w:r>
      <w:r>
        <w:rPr>
          <w:rFonts w:ascii="Times New Roman" w:hAnsi="Times New Roman"/>
          <w:caps w:val="false"/>
          <w:smallCaps w:val="false"/>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cash provided by operating activities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was </w:t>
      </w:r>
      <w:r>
        <w:rPr>
          <w:rFonts w:ascii="Times New Roman" w:hAnsi="Times New Roman"/>
          <w:caps w:val="false"/>
          <w:smallCaps w:val="false"/>
          <w:sz w:val="20"/>
        </w:rPr>
        <w:t>$41.8</w:t>
      </w:r>
      <w:r>
        <w:rPr>
          <w:rFonts w:ascii="Times New Roman" w:hAnsi="Times New Roman"/>
          <w:caps w:val="false"/>
          <w:smallCaps w:val="false"/>
          <w:sz w:val="20"/>
          <w:shd w:fill="FFFFFF" w:val="clear"/>
        </w:rPr>
        <w:t xml:space="preserve"> million which consisted of net income of </w:t>
      </w:r>
      <w:r>
        <w:rPr>
          <w:rFonts w:ascii="Times New Roman" w:hAnsi="Times New Roman"/>
          <w:caps w:val="false"/>
          <w:smallCaps w:val="false"/>
          <w:sz w:val="20"/>
        </w:rPr>
        <w:t>$31.1</w:t>
      </w:r>
      <w:r>
        <w:rPr>
          <w:rFonts w:ascii="Times New Roman" w:hAnsi="Times New Roman"/>
          <w:caps w:val="false"/>
          <w:smallCaps w:val="false"/>
          <w:sz w:val="20"/>
          <w:shd w:fill="FFFFFF" w:val="clear"/>
        </w:rPr>
        <w:t xml:space="preserve"> million, adjusted for non-cash items of approximately $20.6 million, including stock-based compensation of </w:t>
      </w:r>
      <w:r>
        <w:rPr>
          <w:rFonts w:ascii="Times New Roman" w:hAnsi="Times New Roman"/>
          <w:caps w:val="false"/>
          <w:smallCaps w:val="false"/>
          <w:sz w:val="20"/>
        </w:rPr>
        <w:t>$6.9</w:t>
      </w:r>
      <w:r>
        <w:rPr>
          <w:rFonts w:ascii="Times New Roman" w:hAnsi="Times New Roman"/>
          <w:caps w:val="false"/>
          <w:smallCaps w:val="false"/>
          <w:sz w:val="20"/>
          <w:shd w:fill="FFFFFF" w:val="clear"/>
        </w:rPr>
        <w:t xml:space="preserve"> million, depreciation and amortization of </w:t>
      </w:r>
      <w:r>
        <w:rPr>
          <w:rFonts w:ascii="Times New Roman" w:hAnsi="Times New Roman"/>
          <w:caps w:val="false"/>
          <w:smallCaps w:val="false"/>
          <w:sz w:val="20"/>
        </w:rPr>
        <w:t>$10.9</w:t>
      </w:r>
      <w:r>
        <w:rPr>
          <w:rFonts w:ascii="Times New Roman" w:hAnsi="Times New Roman"/>
          <w:caps w:val="false"/>
          <w:smallCaps w:val="false"/>
          <w:sz w:val="20"/>
          <w:shd w:fill="FFFFFF" w:val="clear"/>
        </w:rPr>
        <w:t> million, deferred income taxes of $3.2 million and recovery of credit loss of $0.4 million. Total changes in cash flows from operations were due to a change in working capital related primarily to an increase in accrued expenses of approximately </w:t>
      </w:r>
      <w:r>
        <w:rPr>
          <w:rFonts w:ascii="Times New Roman" w:hAnsi="Times New Roman"/>
          <w:caps w:val="false"/>
          <w:smallCaps w:val="false"/>
          <w:sz w:val="20"/>
        </w:rPr>
        <w:t>$13.2</w:t>
      </w:r>
      <w:r>
        <w:rPr>
          <w:rFonts w:ascii="Times New Roman" w:hAnsi="Times New Roman"/>
          <w:caps w:val="false"/>
          <w:smallCaps w:val="false"/>
          <w:sz w:val="20"/>
          <w:shd w:fill="FFFFFF" w:val="clear"/>
        </w:rPr>
        <w:t> million, a decrease in inventory of approximately </w:t>
      </w:r>
      <w:r>
        <w:rPr>
          <w:rFonts w:ascii="Times New Roman" w:hAnsi="Times New Roman"/>
          <w:caps w:val="false"/>
          <w:smallCaps w:val="false"/>
          <w:sz w:val="20"/>
        </w:rPr>
        <w:t>$3.2</w:t>
      </w:r>
      <w:r>
        <w:rPr>
          <w:rFonts w:ascii="Times New Roman" w:hAnsi="Times New Roman"/>
          <w:caps w:val="false"/>
          <w:smallCaps w:val="false"/>
          <w:sz w:val="20"/>
          <w:shd w:fill="FFFFFF" w:val="clear"/>
        </w:rPr>
        <w:t> million, offset by an increase in accounts receivable of $21.3 million, a decrease in post-marketing commitment liability of $2.4 million and a decrease in operating lease assets and liabilities, net of $1.8 million.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 for the year ended December 31, 2024 was $38.9 million which consisted of net income of $30.3 million, adjusted for non-cash items of approximately $12.1 million, including stock-based compensation of $8.2 million, depreciation and amortization of $11.5 million and recovery of credit loss of $0.5 million. Total changes in cash flows from operations were due to a change in working capital related primarily to a decrease in accrued expenses of approximately $15.8 million, an increase in inventory of approximately $1.6 million (increase in inventory purchases), offset by a decrease in accounts receivable of $16.3 million, primarily related to collection of royalties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During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cash used in investing activities was approximately </w:t>
      </w:r>
      <w:r>
        <w:rPr>
          <w:rFonts w:ascii="Times New Roman" w:hAnsi="Times New Roman"/>
          <w:caps w:val="false"/>
          <w:smallCaps w:val="false"/>
          <w:sz w:val="20"/>
        </w:rPr>
        <w:t>$36.2</w:t>
      </w:r>
      <w:r>
        <w:rPr>
          <w:rFonts w:ascii="Times New Roman" w:hAnsi="Times New Roman"/>
          <w:caps w:val="false"/>
          <w:smallCaps w:val="false"/>
          <w:sz w:val="20"/>
          <w:shd w:fill="FFFFFF" w:val="clear"/>
        </w:rPr>
        <w:t xml:space="preserve"> million. Cash used in investing activities was primarily due to the purchase of available-for-sale securities of approximately </w:t>
      </w:r>
      <w:r>
        <w:rPr>
          <w:rFonts w:ascii="Times New Roman" w:hAnsi="Times New Roman"/>
          <w:caps w:val="false"/>
          <w:smallCaps w:val="false"/>
          <w:sz w:val="20"/>
        </w:rPr>
        <w:t>$108.1</w:t>
      </w:r>
      <w:r>
        <w:rPr>
          <w:rFonts w:ascii="Times New Roman" w:hAnsi="Times New Roman"/>
          <w:caps w:val="false"/>
          <w:smallCaps w:val="false"/>
          <w:sz w:val="20"/>
          <w:shd w:fill="FFFFFF" w:val="clear"/>
        </w:rPr>
        <w:t xml:space="preserve"> million, partially offset by the maturities of available-for-sale securities of approximately </w:t>
      </w:r>
      <w:r>
        <w:rPr>
          <w:rFonts w:ascii="Times New Roman" w:hAnsi="Times New Roman"/>
          <w:caps w:val="false"/>
          <w:smallCaps w:val="false"/>
          <w:sz w:val="20"/>
        </w:rPr>
        <w:t>$72.0</w:t>
      </w:r>
      <w:r>
        <w:rPr>
          <w:rFonts w:ascii="Times New Roman" w:hAnsi="Times New Roman"/>
          <w:caps w:val="false"/>
          <w:smallCaps w:val="false"/>
          <w:sz w:val="20"/>
          <w:shd w:fill="FFFFFF" w:val="clear"/>
        </w:rPr>
        <w:t> million.</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2024, cash used in investing activities was approximately $20.4 million. Cash used in investing activities was primarily due to the purchase of available-for-sale securities of approximately $76.2 million, partially offset by the maturities of available-for-sale securities of approximately $55.8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Cash used in financing activities for the year ended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was approximately $45.2 million. Of this amount, $44.4 million related to the payment of principal, as well as exit fees of approximately $0.9 million, on our debt with Athyrium, partially offset by approximately $0.1 million of proceeds from employee stock options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Cash used in financing activities for the year ended December 31, 2024 was approximately $33.8 million. Of this amount, $34.0 million related to the payment of principal, as well as exit fees, on our debt with Athyrium, partially offset by approximately $0.2 million of proceeds from employee stock options exercised.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Athyrium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issued senior notes for an aggregate principal amount of $100.0 million pursuant to the note purchase agreement dated July 23, 2021 by us, and our subsidiary, and Athyrium, as Administrative Agent, and certain other investor parties (the “Note Purchase Agreement”), with an initial maturity date of July 23, 2026 (the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our outstanding indebtedness, including the applicable exit and prepayment fees owed to lenders under our prior credit facility with Oxford. The Athyrium Notes are secured by substantially all of our assets. We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the Note Purchase Agreement dated as of September 16, 2022 (the “Third Amendment”). The modification of the Note Purchase Agreement pursuant to the Third Amendment did not meet the requirements of a debt extinguishment under ASC Topic 470-50 - </w:t>
      </w:r>
      <w:r>
        <w:rPr>
          <w:rFonts w:ascii="Times New Roman" w:hAnsi="Times New Roman"/>
          <w:i/>
          <w:caps w:val="false"/>
          <w:smallCaps w:val="false"/>
          <w:sz w:val="20"/>
        </w:rPr>
        <w:t>Debt Modifications and Exchanges</w:t>
      </w:r>
      <w:r>
        <w:rPr>
          <w:rFonts w:ascii="Times New Roman" w:hAnsi="Times New Roman"/>
          <w:caps w:val="false"/>
          <w:smallCaps w:val="false"/>
          <w:sz w:val="20"/>
        </w:rPr>
        <w:t xml:space="preserve"> and no gain or loss was recognized. We performed a quantitative analysis and determined that the terms of the new debt and original debt instrument are not substantially different. Accordingly, the Third Amendment is accounted for as a debt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Following the effectiveness of the Third Amendment, the Athyrium Notes bear interest at an annual rate equal to the sum of (a) eight percent (8.00%) plus (b) the lesser of (i) the sum of (x) three-month term SOFR for an interest period of three months plus (y) 0.26161% (26.161 basis points) and (ii) three and one-half of one percent (3.50%) per annum. Interest is payable quarterly on the last business day of March, June, September and December each year. In the second quarter of 2024, we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December 31, 2025, the effective interest rate for the loan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of December 31, 2025, we may prepay the outstanding principal balance of the notes, in whole or in part, without premium or penalty.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Athyrium Notes include affirmative and negative covenants applicable to us. The affirmative covenants include, among others, covenants requiring us to maintain our legal existence and governmental approvals, deliver certain financial reports, maintain insurance coverage, and satisfy certain requirements regarding deposit accounts. The negative covenants include, among others, restrictions on our transferring collateral, incurring additional indebtedness, engaging in mergers or acquisitions, paying dividends or making other distributions, making investments, creating liens, selling assets and suffering a change in control, in each case subject to certain exceptions. We are also required to maintain minimum cash balances and achieve certain minimum product revenue targets, measured as of the last day of each fiscal quarter on a trailing year-to-date basis. As of December 31, 2025, we were in compliance with such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As of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the principal balance outstanding under the Athyrium Notes was $22.5 million, representi</w:t>
      </w:r>
      <w:r>
        <w:rPr>
          <w:rFonts w:ascii="Times New Roman" w:hAnsi="Times New Roman"/>
          <w:caps w:val="false"/>
          <w:smallCaps w:val="false"/>
          <w:sz w:val="20"/>
        </w:rPr>
        <w:t>ng all of our debt.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Current and Future Financing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did not receive or record any product revenue until the third quarter of 2017. We have spent, and expect to continue to spend, substantial amounts in connection with implementing our business strategy, including our planned product development efforts, our clinical trials, our R&amp;D efforts and our commercialization efforts.</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may choose to begin new R&amp;D efforts, launch additional marketing efforts or pursue other in-licensing opportunities. These efforts will require funding in addition to the cash and cash equivalents totaling approximately $29.6 million and approximately $67.9 million in marketable securities available at December 31, 2025. While our consolidated financial statements have been prepared on a going concern b</w:t>
      </w:r>
      <w:r>
        <w:rPr>
          <w:rFonts w:ascii="Times New Roman" w:hAnsi="Times New Roman"/>
          <w:caps w:val="false"/>
          <w:smallCaps w:val="false"/>
          <w:sz w:val="20"/>
          <w:shd w:fill="FFFFFF" w:val="clear"/>
        </w:rPr>
        <w:t>asis, we may incur significant losses in the future and will need to generate sig</w:t>
      </w:r>
      <w:r>
        <w:rPr>
          <w:rFonts w:ascii="Times New Roman" w:hAnsi="Times New Roman"/>
          <w:caps w:val="false"/>
          <w:smallCaps w:val="false"/>
          <w:sz w:val="20"/>
        </w:rPr>
        <w:t>nificant revenue to sustain operations and successfully commercialize neratinib and develop alisertib. While we have been successful in raising financing in the past, there can be no assurance that we will be able to do so in the future. Our ability to obtain funding may be adversely impacted by uncertain market conditions, our success in commercializing neratinib, our success in developing alisertib, unfavorable decisions of regulatory authorities or adverse clinical trial results. The outcome of these matters cannot be predicted at this time. We believe that our existing cash and cash equivalents and marketable securities as of December 31, 2025, and proceeds that will become available to us through product sales and sub-license payments are sufficient to satisfy our operating cash and capital needs for at least one year after the filing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we have based our estimate of capital needs on assumptions that may prove to be wrong. Changes may occur that would consume our available capital faster than anticipated, including changes in and progress of our development activities, the impact of commercialization efforts, acquisitions of additional drug candidates and changes in regulation. Potential sources of financing include strategic relationships, public or private sales of equity or debt and other sources of funds. We may seek to access the public or private equity markets when conditions are favorable due to our long-term capital requirements. If we raise funds by selling additional shares of common stock or other securities convertible into common stock, the ownership interests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 In such an event, we will be required to undertake a thorough review of our programs, and the opportunities presented by such programs, and allocate our resources in the manner most prudent.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SEC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Contractual obligations represent future cash commitments and liabilities under agreements with third parties and exclude contingent liabilities for which we cannot reasonably predict future payment. Our contractual obligations result from leases for office space and office equipment and the principal and interest owed under our Note Purchase Agreement. We also have unrecognized tax benefits that, if recognized, would affect the effective tax rate at December 31, 2025. We do not have tax positions for which it is reasonably possible that the total amounts of unrecognized tax benefit will significantly increase or decrease within 12 months of the reporting date. Additionally, the expected timing of payment of the obligations presented below is estimated based on current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table represents our contractual obligations as of December 31, 2025, aggregated by type (in thousands):</w:t>
      </w:r>
    </w:p>
    <w:p>
      <w:pPr>
        <w:pStyle w:val="TextBody"/>
        <w:bidi w:val="0"/>
        <w:spacing w:before="0" w:after="0"/>
        <w:ind w:left="0" w:right="0" w:hanging="0"/>
        <w:jc w:val="left"/>
        <w:rPr>
          <w:caps w:val="false"/>
          <w:smallCaps w:val="false"/>
        </w:rPr>
      </w:pPr>
      <w:r>
        <w:rPr>
          <w:caps w:val="false"/>
          <w:smallCaps w:val="false"/>
        </w:rPr>
        <w:t> </w:t>
      </w:r>
    </w:p>
    <w:tbl>
      <w:tblPr>
        <w:tblW w:w="8752" w:type="dxa"/>
        <w:jc w:val="left"/>
        <w:tblInd w:w="0" w:type="dxa"/>
        <w:tblLayout w:type="fixed"/>
        <w:tblCellMar>
          <w:top w:w="0" w:type="dxa"/>
          <w:left w:w="0" w:type="dxa"/>
          <w:bottom w:w="0" w:type="dxa"/>
          <w:right w:w="0" w:type="dxa"/>
        </w:tblCellMar>
      </w:tblPr>
      <w:tblGrid>
        <w:gridCol w:w="4250"/>
        <w:gridCol w:w="60"/>
        <w:gridCol w:w="60"/>
        <w:gridCol w:w="590"/>
        <w:gridCol w:w="60"/>
        <w:gridCol w:w="60"/>
        <w:gridCol w:w="60"/>
        <w:gridCol w:w="80"/>
        <w:gridCol w:w="60"/>
        <w:gridCol w:w="60"/>
        <w:gridCol w:w="75"/>
        <w:gridCol w:w="739"/>
        <w:gridCol w:w="60"/>
        <w:gridCol w:w="60"/>
        <w:gridCol w:w="60"/>
        <w:gridCol w:w="80"/>
        <w:gridCol w:w="60"/>
        <w:gridCol w:w="60"/>
        <w:gridCol w:w="97"/>
        <w:gridCol w:w="792"/>
        <w:gridCol w:w="60"/>
        <w:gridCol w:w="60"/>
        <w:gridCol w:w="60"/>
        <w:gridCol w:w="80"/>
        <w:gridCol w:w="60"/>
        <w:gridCol w:w="60"/>
        <w:gridCol w:w="97"/>
        <w:gridCol w:w="792"/>
        <w:gridCol w:w="60"/>
      </w:tblGrid>
      <w:tr>
        <w:trPr/>
        <w:tc>
          <w:tcPr>
            <w:tcW w:w="42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Obligations</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than</w:t>
              <w:b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1 - 3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3 - 5 years</w:t>
            </w:r>
          </w:p>
        </w:tc>
        <w:tc>
          <w:tcPr>
            <w:tcW w:w="6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 Debt Obligations (principal and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also engage with CROs and contract manufacturing organizations (“CMOs”) in addition to eng</w:t>
      </w:r>
      <w:r>
        <w:rPr>
          <w:rFonts w:ascii="Times New Roman" w:hAnsi="Times New Roman"/>
          <w:caps w:val="false"/>
          <w:smallCaps w:val="false"/>
          <w:sz w:val="20"/>
          <w:shd w:fill="FFFFFF" w:val="clear"/>
        </w:rPr>
        <w:t>aging in contracts for the management of our ongoing clinical trials and pre-commercialization efforts. We may cancel these agreements with a 30 to 45 day written notice to the outside vendor. We would be obligated to pay for services rendered up to that point, which amounts to total contractual obligations of $54.9 million within the next twelve mo</w:t>
      </w:r>
      <w:r>
        <w:rPr>
          <w:rFonts w:ascii="Times New Roman" w:hAnsi="Times New Roman"/>
          <w:caps w:val="false"/>
          <w:smallCaps w:val="false"/>
          <w:sz w:val="20"/>
        </w:rPr>
        <w:t>nths. The</w:t>
      </w:r>
      <w:r>
        <w:rPr>
          <w:rFonts w:ascii="Times New Roman" w:hAnsi="Times New Roman"/>
          <w:caps w:val="false"/>
          <w:smallCaps w:val="false"/>
          <w:sz w:val="20"/>
          <w:shd w:fill="FFFFFF" w:val="clear"/>
        </w:rPr>
        <w:t xml:space="preserve"> contracts also contain variable costs that are hard to predict as they are based on such things as patients enrolled and clinical trial sites, which can vary, and therefore, are not included in the total obligations amount. The remaining milestone amounts were not included in the table above as the timing of when or if these payments will be made is uncertain. As </w:t>
      </w:r>
      <w:r>
        <w:rPr>
          <w:rFonts w:ascii="Times New Roman" w:hAnsi="Times New Roman"/>
          <w:caps w:val="false"/>
          <w:smallCaps w:val="false"/>
          <w:sz w:val="20"/>
        </w:rPr>
        <w:t>of December 31, 2025, our obligations for potential milestone payments totaled app</w:t>
      </w:r>
      <w:r>
        <w:rPr>
          <w:rFonts w:ascii="Times New Roman" w:hAnsi="Times New Roman"/>
          <w:caps w:val="false"/>
          <w:smallCaps w:val="false"/>
          <w:sz w:val="20"/>
          <w:shd w:fill="FFFFFF" w:val="clear"/>
        </w:rPr>
        <w:t xml:space="preserve">roximately $15.7 million. </w:t>
      </w:r>
      <w:r>
        <w:rPr>
          <w:rFonts w:ascii="Times New Roman" w:hAnsi="Times New Roman"/>
          <w:caps w:val="false"/>
          <w:smallCaps w:val="false"/>
          <w:sz w:val="20"/>
        </w:rPr>
        <w:t>This amount will be paid by us if all milestones are reached and would reduce the overall contractual obligation if one or more milestone is never reached.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regard to our contractual obligations in relation to the Pfizer in-license a</w:t>
      </w:r>
      <w:r>
        <w:rPr>
          <w:rFonts w:ascii="Times New Roman" w:hAnsi="Times New Roman"/>
          <w:caps w:val="false"/>
          <w:smallCaps w:val="false"/>
          <w:sz w:val="20"/>
          <w:shd w:fill="FFFFFF" w:val="clear"/>
        </w:rPr>
        <w:t>greement, as consideration for the license, we are required to make substantial payments upon the achievement of certain milestones totaling approxim</w:t>
      </w:r>
      <w:r>
        <w:rPr>
          <w:rFonts w:ascii="Times New Roman" w:hAnsi="Times New Roman"/>
          <w:caps w:val="false"/>
          <w:smallCaps w:val="false"/>
          <w:sz w:val="20"/>
        </w:rPr>
        <w:t xml:space="preserve">ately $187.5 million </w:t>
      </w:r>
      <w:r>
        <w:rPr>
          <w:rFonts w:ascii="Times New Roman" w:hAnsi="Times New Roman"/>
          <w:caps w:val="false"/>
          <w:smallCaps w:val="false"/>
          <w:sz w:val="20"/>
          <w:shd w:fill="FFFFFF" w:val="clear"/>
        </w:rPr>
        <w:t>if all such milestones are achieved, of whi</w:t>
      </w:r>
      <w:r>
        <w:rPr>
          <w:rFonts w:ascii="Times New Roman" w:hAnsi="Times New Roman"/>
          <w:caps w:val="false"/>
          <w:smallCaps w:val="false"/>
          <w:sz w:val="20"/>
        </w:rPr>
        <w:t>ch $102.5 million h</w:t>
      </w:r>
      <w:r>
        <w:rPr>
          <w:rFonts w:ascii="Times New Roman" w:hAnsi="Times New Roman"/>
          <w:caps w:val="false"/>
          <w:smallCaps w:val="false"/>
          <w:sz w:val="20"/>
          <w:shd w:fill="FFFFFF" w:val="clear"/>
        </w:rPr>
        <w:t xml:space="preserve">ave been achieved as of </w:t>
      </w:r>
      <w:r>
        <w:rPr>
          <w:rFonts w:ascii="Times New Roman" w:hAnsi="Times New Roman"/>
          <w:caps w:val="false"/>
          <w:smallCaps w:val="false"/>
          <w:sz w:val="20"/>
        </w:rPr>
        <w:t>December 31, 2025</w:t>
      </w:r>
      <w:r>
        <w:rPr>
          <w:rFonts w:ascii="Times New Roman" w:hAnsi="Times New Roman"/>
          <w:caps w:val="false"/>
          <w:smallCaps w:val="false"/>
          <w:sz w:val="20"/>
          <w:shd w:fill="FFFFFF" w:val="clear"/>
        </w:rPr>
        <w:t>. The remaining milestone amounts were not included in the table above as the timing of when or if these payments will be made is uncertain. In connection with the FDA approval of NERLYNX in July 2017, we triggered a one-time milestone payment pursuant to the agreement. In June 2020, we entered into a letter agreement with Pfizer relating to the method of payment associated with a milestone payment under our license agreement with Pfizer (see Note 13</w:t>
      </w:r>
      <w:r>
        <w:rPr>
          <w:rFonts w:ascii="Times New Roman" w:hAnsi="Times New Roman"/>
          <w:caps w:val="false"/>
          <w:smallCaps w:val="false"/>
          <w:sz w:val="20"/>
        </w:rPr>
        <w:t>–</w:t>
      </w:r>
      <w:r>
        <w:rPr>
          <w:rFonts w:ascii="Times New Roman" w:hAnsi="Times New Roman"/>
          <w:caps w:val="false"/>
          <w:smallCaps w:val="false"/>
          <w:sz w:val="20"/>
          <w:shd w:fill="FFFFFF" w:val="clear"/>
        </w:rPr>
        <w:t>Commitments and Contingencies in the accompanying notes to the financial statements). In addition, we reached a commercial milestone by achieving aggregate worldwide net sales of $250.0 million in calendar year 2022, resulting in a payable to Pfizer of $12.5 million. The commercial milestone payable was paid in February 2023. Should we commercialize any more of the compounds licensed from Pfizer or any products containing any of these compounds, we will be obligated to pay to Pfizer annual royalties at a fixed rate in the low to mid-teens of net sales of all such products, subject to certain reductions and offsets in some circumstances. Our royalty obligation continues, on a product-by-product and country-by-country basis, until the later of (i) the last to expire licensed patent covering the applicable licensed product in such country, or (ii) the earlier of generic competition for such licensed product reaching a certain level in such country or expiration of a certain time period after first commercial sale of such licensed product in such country. In the event that we sublicense the rights granted to us under the license agreement with Pfizer to a third party, the same milestone and royalty payments are required. We can ter</w:t>
      </w:r>
      <w:r>
        <w:rPr>
          <w:rFonts w:ascii="Times New Roman" w:hAnsi="Times New Roman"/>
          <w:caps w:val="false"/>
          <w:smallCaps w:val="false"/>
          <w:sz w:val="20"/>
        </w:rPr>
        <w:t>minate the license agreement at will, or for safety concerns, in each case upon specified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regard to our contractual obligations with Takeda, as consideration for the license, we are required to make substantial payments upon the achievement of certain milestones totaling $287.3 million if all such milestones are achieved. As of December 31, 2025, no milestones had been achieved.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See Note 12–Income Taxes and Note 13–Commitments and Contingencies in the accompanying notes to the financial statements for a summary of our uncertain tax positions and contracts held by us as of December 31, 2025. As of December 31, 2025, the amount of unrecognized tax benefit was $3.4 million, and is also not included in the table above as the timing of when or if these payments will be made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discussion and analysis of our consolidated financial condition and results of operations are based upon our consolidated financial statements, which have been prepared in conformity with GAAP. The preparation of these consolidated financial statements requires us to make estimates and assumptions that affect the reported amounts of assets, liabilities, and expenses, and related disclosure of contingent assets and liabilities reported in our consolidated financial statements. The estimation process requires assumptions to be made about future events and conditions and, as a result, is inherently subjective and uncertain. Actual results could differ materially from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SEC defines critical accounting policies as those that are, in management’s view, most important to the portrayal of our financial condition and results of operations and most demanding of our judgment. We consider the following policies to be critical to an understanding of our consolidated financial statements and the uncertainties associated with the complex judgments made by us that could impact our results of operations, financial position,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w:t>
      </w:r>
      <w:r>
        <w:rPr>
          <w:rFonts w:ascii="Times New Roman" w:hAnsi="Times New Roman"/>
          <w:caps w:val="false"/>
          <w:smallCaps w:val="false"/>
          <w:sz w:val="20"/>
          <w:shd w:fill="FFFFFF" w:val="clear"/>
        </w:rPr>
        <w:t>er Accounting Standards Co</w:t>
      </w:r>
      <w:r>
        <w:rPr>
          <w:rFonts w:ascii="Times New Roman" w:hAnsi="Times New Roman"/>
          <w:caps w:val="false"/>
          <w:smallCaps w:val="false"/>
          <w:sz w:val="20"/>
        </w:rPr>
        <w:t xml:space="preserve">dification (“ASC”) Topic 606 - </w:t>
      </w:r>
      <w:r>
        <w:rPr>
          <w:rFonts w:ascii="Times New Roman" w:hAnsi="Times New Roman"/>
          <w:i/>
          <w:caps w:val="false"/>
          <w:smallCaps w:val="false"/>
          <w:sz w:val="20"/>
        </w:rPr>
        <w:t>Revenue from Contracts with Customers (“</w:t>
      </w:r>
      <w:r>
        <w:rPr>
          <w:rFonts w:ascii="Times New Roman" w:hAnsi="Times New Roman"/>
          <w:caps w:val="false"/>
          <w:smallCaps w:val="false"/>
          <w:sz w:val="20"/>
        </w:rPr>
        <w:t>ASC 606”) we recognize revenue when a customer obtains control of the promised goods or services, in an amount that reflects the consideration which we expect to be entitled in exchange for those goods or services. We had no contracts with customers until the FDA approved NERLYNX on July 17, 2017. Subsequent to receiving FDA approval, we entered into a limited number of arrangements with specialty pharmacies and specialty distributors in the United States to distribute NERLYNX. These arrangements are our initial contracts with customers. We have determined that these sales channels with customers are similar.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 xml:space="preserve">Product Revenue,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sell NERLYNX to a limited number of specialty pharmacies and specialty distributors in the United States. These customers subsequently resell our products to patients and certain medical centers or hospitals. In addition to distribution agreements with these customers, we enter into arrangements with healthcare providers and payors that provide for government mandated and/or privately negotiated rebates, chargebacks and discounts with respect to the purchase of our products. 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recognize revenue on product sales when the specialty pharmacy or specialty distributor, as applicable, obtains control of our product, which occurs at a point in time (upon delivery). Product revenue is recorded net of applicable reserves for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Shipping and handling costs for product shipments occur prior to the customer obtaining control of the goods and are recorded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Reserves for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us and our customers, payors, and other indirect customers relating to the sale of our products. These reserves, as detailed below, are based on the amounts earned, or to be claimed on the related sales, and are classified as reductions of accounts receivable or a current liability. These estimates take into consideration a range of possible outcomes that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reflect our best estimates of the amount of consideration to which it is entitled based on the terms of the respective underlying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analyses also contemplated application of the constraint in accordance with the guidance, under which we determined a significant reversal of revenue would not occur in a future period for the estimates detailed below as of December 31, 2025 and, therefore, the transaction price was not reduced further during the year ended December 31, 2025.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Trade Discounts and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generally provide customers with discounts which include incentive fees that are explicitly stated in our contracts and are recorded as a reduction of revenue in the period the related product revenue is recognized. In addition, we compensate (through trade discounts and allowances) our customers for sales order management, data, and distribution services. However, we have determined such services received to date are not distinct from our sale of products to the customer and, therefore, these payments have been recorded as a reduction of revenue within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Product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Consistent with industry practice, we offer the specialty pharmacies and specialty distributors limited product return rights for damaged and expiring products, provided it is within a specified period around the product expiration date as set forth in the applicable individual distribution agreement. We estimate the amount of our product sales that may be returned by our customers and record this estimate as a reduction of revenue in the period the related product revenue is recognized, as well as a reduction to accounts receivables, net on the consolidated balance sheets. We currently estimate product returns using our sales information, including our visibility into the inventory remaining in the distribution channel. We have an insignificant amount of returns to date and believe that returns of our products will continue to be minimal.</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Provider Chargebacks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Chargebacks for fees and discounts to providers represent the estimated obligations resulting from contractual 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we generally issue credits for such amounts within a few weeks of the customer’s notification to us of the resale. Chargebacks consist of credits that we expect to issue for units that remain in the distribution channel at each reporting period end that we expect will be sold to qualified healthcare providers, and chargebacks that customers have claimed, but for which we have not yet issued a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Government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are subject to discount obligations under state Medicaid programs and Medicare. These reserves are recorded in the same period the related revenue is recognized, resulting in a reduction of product revenue and the establishment of a current liability which is included in accrued expenses on the consolidated balance sheets.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at the end of each reporting period.</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Payor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contract with certain private payor organizations, primarily insurance companies and pharmacy benefit managers, for the payment of rebates with respect to utilization of our products. We estimate these rebates and record such estimates in the same period the related revenue is recognized, resulting in a reduction of product revenue and the establishment of a current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Other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Other incentives which we offer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we expect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 xml:space="preserve">License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recognize license revenue under certain of our sub-license agreements that are within the scope of ASC 606. The terms of these agreements may contain multiple performance obligations, which may include licenses and research and development activities. We evaluate these agreements under ASC 606 to determine the distinct performance obligations. Non-refundable, upfront fees that are not contingent on any future performance and require no consequential continuing involvement by us, are recognized as revenue when the license term commences and the licensed data, technology or product is delivered. We defer recognition of non-refundable upfront license fees if the performance obligations are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Variable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there are multiple distinct performance obligations, we allocate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sub-license agreements that are within the scope of ASC 606, we recognize revenue when the related sales occur in accordance with the sales-based royalty exception under ASC 606-10-55-65. Royalty revenue consists of consideration earned related to international sales of NERLYNX made by our sub-licensees in their respective territories. We recognize royalty revenue when the performance obligations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Contingencies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For legal contingencies, we accrue a liability for an estimated loss if the potential loss from any claim or legal proceeding is considered probable and the amount can be reasonably estimated. Legal fees and expenses are expensed as incurred based on invoices or estimates provided by legal counsel. We periodically evaluate available information, both internal and external, relative to such contingencies and adjust the accrual as necessary. We determine whether a contingency should be disclosed by assessing whether a material loss is deemed reasonably possible. In determining whether a loss should be accrued, we evaluate, among other factors, the degree of probability of an unfavorable outcome and the ability to make a reasonable estimate of the amount of the lo</w:t>
      </w:r>
      <w:r>
        <w:rPr>
          <w:rFonts w:ascii="Times New Roman" w:hAnsi="Times New Roman"/>
          <w:caps w:val="false"/>
          <w:smallCaps w:val="false"/>
          <w:sz w:val="20"/>
          <w:shd w:fill="FFFFFF" w:val="clear"/>
        </w:rPr>
        <w:t>ss (see Note 13</w:t>
      </w:r>
      <w:r>
        <w:rPr>
          <w:rFonts w:ascii="Times New Roman" w:hAnsi="Times New Roman"/>
          <w:caps w:val="false"/>
          <w:smallCaps w:val="false"/>
          <w:sz w:val="20"/>
        </w:rPr>
        <w:t>–</w:t>
      </w:r>
      <w:r>
        <w:rPr>
          <w:rFonts w:ascii="Times New Roman" w:hAnsi="Times New Roman"/>
          <w:caps w:val="false"/>
          <w:smallCaps w:val="false"/>
          <w:sz w:val="20"/>
          <w:shd w:fill="FFFFFF" w:val="clear"/>
        </w:rPr>
        <w:t>Commitments and</w:t>
      </w:r>
      <w:r>
        <w:rPr>
          <w:rFonts w:ascii="Times New Roman" w:hAnsi="Times New Roman"/>
          <w:caps w:val="false"/>
          <w:smallCaps w:val="false"/>
          <w:sz w:val="20"/>
        </w:rPr>
        <w:t xml:space="preserve"> Contingencies in the accompanying notes to the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Accounting Pronouncements Adopted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ASU 2023-09, Improvements to Income Tax Disclosures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On December 14, 2023, the FASB issued ASU 2023-09, </w:t>
      </w:r>
      <w:r>
        <w:rPr>
          <w:rFonts w:ascii="Times New Roman" w:hAnsi="Times New Roman"/>
          <w:i/>
          <w:caps w:val="false"/>
          <w:smallCaps w:val="false"/>
          <w:sz w:val="20"/>
        </w:rPr>
        <w:t>Improvements to Income Tax Disclosures (</w:t>
      </w:r>
      <w:r>
        <w:rPr>
          <w:rFonts w:ascii="Times New Roman" w:hAnsi="Times New Roman"/>
          <w:caps w:val="false"/>
          <w:smallCaps w:val="false"/>
          <w:sz w:val="20"/>
        </w:rPr>
        <w:t>“</w:t>
      </w:r>
      <w:r>
        <w:rPr>
          <w:rFonts w:ascii="Times New Roman" w:hAnsi="Times New Roman"/>
          <w:i/>
          <w:caps w:val="false"/>
          <w:smallCaps w:val="false"/>
          <w:sz w:val="20"/>
        </w:rPr>
        <w:t>ASU 2023-09</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ASU 2023-09 amends ASC 740, Income Taxes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Accordingly, the expanded disclosures are provided for the year ended December 31, 2025, while prior period disclosures have not been retroactively adjusted and continue to be presented under the previous disclosure requirements. As this update only impacts disclosures, its adoption did not have a material impact on the Company’s consolidated financial position, results of operations, or cash flows. See Note 12 </w:t>
      </w:r>
      <w:r>
        <w:rPr>
          <w:rFonts w:ascii="Times New Roman" w:hAnsi="Times New Roman"/>
          <w:i/>
          <w:caps w:val="false"/>
          <w:smallCaps w:val="false"/>
          <w:sz w:val="20"/>
        </w:rPr>
        <w:t>Income Taxes</w:t>
      </w:r>
      <w:r>
        <w:rPr>
          <w:rFonts w:ascii="Times New Roman" w:hAnsi="Times New Roman"/>
          <w:caps w:val="false"/>
          <w:smallCaps w:val="false"/>
          <w:sz w:val="20"/>
        </w:rPr>
        <w:t xml:space="preserve"> for additional information.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w:t>
      </w:r>
      <w:r>
        <w:rPr>
          <w:rFonts w:ascii="Times New Roman" w:hAnsi="Times New Roman"/>
          <w:caps w:val="false"/>
          <w:smallCaps w:val="false"/>
          <w:sz w:val="20"/>
        </w:rPr>
        <w:t>: The ASU requires more detailed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(i) prospectively to financial statements issued for reporting periods after the effective date of this ASU or (ii) retrospectively to all prior periods presented in the financial statements. We are currently evaluating the impact of adopting this ASU on our consolidated financial statements and related disclosures.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885" w:type="dxa"/>
        <w:jc w:val="left"/>
        <w:tblInd w:w="0" w:type="dxa"/>
        <w:tblLayout w:type="fixed"/>
        <w:tblCellMar>
          <w:top w:w="0" w:type="dxa"/>
          <w:left w:w="0" w:type="dxa"/>
          <w:bottom w:w="0" w:type="dxa"/>
          <w:right w:w="0" w:type="dxa"/>
        </w:tblCellMar>
      </w:tblPr>
      <w:tblGrid>
        <w:gridCol w:w="875"/>
        <w:gridCol w:w="7010"/>
      </w:tblGrid>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5" w:name="i7A"/>
            <w:bookmarkEnd w:id="15"/>
            <w:r>
              <w:rPr>
                <w:rFonts w:ascii="Times New Roman" w:hAnsi="Times New Roman"/>
                <w:b/>
                <w:caps w:val="false"/>
                <w:smallCaps w:val="false"/>
                <w:sz w:val="20"/>
              </w:rPr>
              <w:t>ITEM 7A.</w:t>
            </w:r>
          </w:p>
        </w:tc>
        <w:tc>
          <w:tcPr>
            <w:tcW w:w="7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QUANTITATIVE AND QUALITATIVE DISCLOSURES ABOUT MARKET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Some of the securities in which we invest have market risk in that a change in prevailing interest rates may cause the principal amount of the cash equivalents to fluctuate. Financial instruments that potentially subject us to significant concentrations of credit risk consist primarily of cash and cash equivalents. We invest our excess cash primarily in cash equivalents such as money market investments as of December 31, 2025. The primary objectives of our investment activities are to ensure liquidity and to preserve principal while at the same time maximizing the income we receive from our cash and cash equivalents without significantly increasing risk. Additionally, we established guidelines regarding approved investments and maturities of investments, which are designed to maintain safety and liquidity.</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Because of the short-term maturities of our cash equivalents, we do not believe that a 10% increase in interest rates would have a material effect on the realized value of our cash equivalents.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also h</w:t>
      </w:r>
      <w:r>
        <w:rPr>
          <w:rFonts w:ascii="Times New Roman" w:hAnsi="Times New Roman"/>
          <w:caps w:val="false"/>
          <w:smallCaps w:val="false"/>
          <w:sz w:val="20"/>
          <w:shd w:fill="FFFFFF" w:val="clear"/>
        </w:rPr>
        <w:t>ave interest rate exposure as a</w:t>
      </w:r>
      <w:r>
        <w:rPr>
          <w:rFonts w:ascii="Times New Roman" w:hAnsi="Times New Roman"/>
          <w:caps w:val="false"/>
          <w:smallCaps w:val="false"/>
          <w:sz w:val="20"/>
        </w:rPr>
        <w:t xml:space="preserve"> result of borrowings outstanding under the Athyrium Notes. As of December 31, 2025, the aggregate outstanding principal amounts of the Athyrium Note</w:t>
      </w:r>
      <w:r>
        <w:rPr>
          <w:rFonts w:ascii="Times New Roman" w:hAnsi="Times New Roman"/>
          <w:caps w:val="false"/>
          <w:smallCaps w:val="false"/>
          <w:sz w:val="20"/>
          <w:shd w:fill="FFFFFF" w:val="clear"/>
        </w:rPr>
        <w:t>s was $22.5 million. The Athyrium Notes bear interest at a rate per annum equal to the sum of 8.00% plus the adjusted three-month term SOFR and the lesser of (a) the sum of (i) three-month term SOFR and (ii) 0.26161% (26.161 basis points) and (b) three and one-half of one percent (3.50%) per annum. If overall interest rates had increased by one hundred basis points during the year ended December 31, 2025, our interest expense would have increased by $0.2 million. </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40"/>
        <w:gridCol w:w="5345"/>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6" w:name="i8"/>
            <w:bookmarkEnd w:id="16"/>
            <w:r>
              <w:rPr>
                <w:rFonts w:ascii="Times New Roman" w:hAnsi="Times New Roman"/>
                <w:b/>
                <w:caps w:val="false"/>
                <w:smallCaps w:val="false"/>
                <w:sz w:val="20"/>
              </w:rPr>
              <w:t>ITEM 8.</w:t>
            </w:r>
          </w:p>
        </w:tc>
        <w:tc>
          <w:tcPr>
            <w:tcW w:w="53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STATEMENTS AND SUPPLEMENTARY DATA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All financial statements and supplementary data required by this Item are listed in Part IV, Item 15 of this Annual Report and are presented beginning on Page F-1.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
        <w:gridCol w:w="9469"/>
      </w:tblGrid>
      <w:tr>
        <w:trPr/>
        <w:tc>
          <w:tcPr>
            <w:tcW w:w="73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7" w:name="i9"/>
            <w:bookmarkEnd w:id="17"/>
            <w:r>
              <w:rPr>
                <w:rFonts w:ascii="Times New Roman" w:hAnsi="Times New Roman"/>
                <w:b/>
                <w:caps w:val="false"/>
                <w:smallCaps w:val="false"/>
                <w:sz w:val="20"/>
              </w:rPr>
              <w:t>ITEM 9.</w:t>
            </w:r>
          </w:p>
        </w:tc>
        <w:tc>
          <w:tcPr>
            <w:tcW w:w="94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AND DISAGREEMENTS WITH ACCOUNTANTS ON ACCOUNTING AND FINANCIAL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jc w:val="left"/>
        <w:rPr/>
      </w:pPr>
      <w:r>
        <w:rPr/>
        <w:t xml:space="preserve">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8" w:name="i9A"/>
            <w:bookmarkEnd w:id="18"/>
            <w:r>
              <w:rPr>
                <w:rFonts w:ascii="Times New Roman" w:hAnsi="Times New Roman"/>
                <w:b/>
                <w:caps w:val="false"/>
                <w:smallCaps w:val="false"/>
                <w:sz w:val="20"/>
              </w:rPr>
              <w:t>ITEM 9A.</w:t>
            </w:r>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our disclosure controls and procedures (as defined under Exchange Act Rule 13a-15(e)) as of December 31, 2025. Based on that evaluation, our Chief Executive Officer and Chief Financial Officer have concluded that these disclosure controls and procedures were effective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year ended December 31, 2025, that has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Management’s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 xml:space="preserve">Under the supervision and with the participation of our management, including our Chief Executive Officer and Chief Financial Officer, we conducted an evaluation of the effectiveness of our internal control over financial reporting as of December 31, 2025. Management based its assessment on the criteria set forth by the Committee of Sponsoring Organizations of the Treadway Commission in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 xml:space="preserve">Integrated Framework - 2013 </w:t>
      </w:r>
      <w:r>
        <w:rPr>
          <w:rFonts w:ascii="Times New Roman" w:hAnsi="Times New Roman"/>
          <w:caps w:val="false"/>
          <w:smallCaps w:val="false"/>
          <w:sz w:val="20"/>
        </w:rPr>
        <w:t>(COSO 2013 framework). Based on this evaluation, our management concluded that, as of December 31, 2025, our internal control over financial reporting was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Our internal control over financial reporting as of December 31, 2025 has been audited by KPMG LLP, our independent registered public accounting firm, as stated in their report, which expresses an unqualified opinion on the effectiveness of our internal control over financial reporting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0"/>
              <w:ind w:left="0" w:right="0" w:hanging="0"/>
              <w:jc w:val="left"/>
              <w:rPr/>
            </w:pPr>
            <w:bookmarkStart w:id="19" w:name="i9B"/>
            <w:bookmarkEnd w:id="19"/>
            <w:r>
              <w:rPr>
                <w:rFonts w:ascii="Times New Roman" w:hAnsi="Times New Roman"/>
                <w:b/>
                <w:caps w:val="false"/>
                <w:smallCaps w:val="false"/>
                <w:sz w:val="20"/>
              </w:rPr>
              <w:t>ITEM </w:t>
            </w:r>
            <w:r>
              <w:rPr>
                <w:rStyle w:val="Emphasis"/>
                <w:rFonts w:ascii="Times New Roman" w:hAnsi="Times New Roman"/>
                <w:b/>
                <w:caps w:val="false"/>
                <w:smallCaps w:val="false"/>
                <w:sz w:val="20"/>
              </w:rPr>
              <w:t>9B.</w:t>
            </w:r>
          </w:p>
        </w:tc>
        <w:tc>
          <w:tcPr>
            <w:tcW w:w="224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t>
      </w:r>
      <w:r>
        <w:rPr>
          <w:rStyle w:val="Emphasis"/>
          <w:rFonts w:ascii="Times New Roman" w:hAnsi="Times New Roman"/>
          <w:caps w:val="false"/>
          <w:smallCaps w:val="false"/>
          <w:sz w:val="20"/>
        </w:rPr>
        <w:t>no</w:t>
      </w:r>
      <w:r>
        <w:rPr>
          <w:rFonts w:ascii="Times New Roman" w:hAnsi="Times New Roman"/>
          <w:caps w:val="false"/>
          <w:smallCaps w:val="false"/>
          <w:sz w:val="20"/>
        </w:rPr>
        <w:t> director or officer (as defined in Rule </w:t>
      </w:r>
      <w:r>
        <w:rPr>
          <w:rStyle w:val="Emphasis"/>
          <w:rFonts w:ascii="Times New Roman" w:hAnsi="Times New Roman"/>
          <w:caps w:val="false"/>
          <w:smallCaps w:val="false"/>
          <w:sz w:val="20"/>
        </w:rPr>
        <w:t>16a</w:t>
      </w:r>
      <w:r>
        <w:rPr>
          <w:rFonts w:ascii="Times New Roman" w:hAnsi="Times New Roman"/>
          <w:i/>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(f) under the Exchange Act) of the Company adopted or terminated a “Rule </w:t>
      </w:r>
      <w:r>
        <w:rPr>
          <w:rStyle w:val="Emphasis"/>
          <w:rFonts w:ascii="Times New Roman" w:hAnsi="Times New Roman"/>
          <w:caps w:val="false"/>
          <w:smallCaps w:val="false"/>
          <w:sz w:val="20"/>
        </w:rPr>
        <w:t>10b5</w:t>
      </w:r>
      <w:r>
        <w:rPr>
          <w:rFonts w:ascii="Times New Roman" w:hAnsi="Times New Roman"/>
          <w:i/>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or “non-Rule </w:t>
      </w:r>
      <w:r>
        <w:rPr>
          <w:rStyle w:val="Emphasis"/>
          <w:rFonts w:ascii="Times New Roman" w:hAnsi="Times New Roman"/>
          <w:caps w:val="false"/>
          <w:smallCaps w:val="false"/>
          <w:sz w:val="20"/>
        </w:rPr>
        <w:t>10b5</w:t>
      </w:r>
      <w:r>
        <w:rPr>
          <w:rFonts w:ascii="Times New Roman" w:hAnsi="Times New Roman"/>
          <w:i/>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jc w:val="left"/>
        <w:rPr/>
      </w:pPr>
      <w:r>
        <w:rPr/>
        <w:t xml:space="preserve">  </w:t>
      </w:r>
    </w:p>
    <w:tbl>
      <w:tblPr>
        <w:tblW w:w="8785" w:type="dxa"/>
        <w:jc w:val="left"/>
        <w:tblInd w:w="0" w:type="dxa"/>
        <w:tblLayout w:type="fixed"/>
        <w:tblCellMar>
          <w:top w:w="0" w:type="dxa"/>
          <w:left w:w="0" w:type="dxa"/>
          <w:bottom w:w="0" w:type="dxa"/>
          <w:right w:w="0" w:type="dxa"/>
        </w:tblCellMar>
      </w:tblPr>
      <w:tblGrid>
        <w:gridCol w:w="875"/>
        <w:gridCol w:w="7910"/>
      </w:tblGrid>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0" w:name="item9c"/>
            <w:bookmarkEnd w:id="20"/>
            <w:r>
              <w:rPr>
                <w:rFonts w:ascii="Times New Roman" w:hAnsi="Times New Roman"/>
                <w:b/>
                <w:caps w:val="false"/>
                <w:smallCaps w:val="false"/>
                <w:sz w:val="20"/>
              </w:rPr>
              <w:t>ITEM 9C.</w:t>
            </w:r>
          </w:p>
        </w:tc>
        <w:tc>
          <w:tcPr>
            <w:tcW w:w="79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DISCLOSURE REGARDING FOREIGN JURISDICTIONS THAT PREVENT INSPECTIONS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1" w:name="p3"/>
      <w:bookmarkEnd w:id="21"/>
      <w:r>
        <w:rPr>
          <w:rFonts w:ascii="Times New Roman" w:hAnsi="Times New Roman"/>
          <w:b/>
          <w:caps w:val="false"/>
          <w:smallCaps w:val="false"/>
          <w:sz w:val="20"/>
        </w:rPr>
        <w:t xml:space="preserve">Part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465" w:type="dxa"/>
        <w:jc w:val="left"/>
        <w:tblInd w:w="0" w:type="dxa"/>
        <w:tblLayout w:type="fixed"/>
        <w:tblCellMar>
          <w:top w:w="0" w:type="dxa"/>
          <w:left w:w="0" w:type="dxa"/>
          <w:bottom w:w="0" w:type="dxa"/>
          <w:right w:w="0" w:type="dxa"/>
        </w:tblCellMar>
      </w:tblPr>
      <w:tblGrid>
        <w:gridCol w:w="845"/>
        <w:gridCol w:w="6620"/>
      </w:tblGrid>
      <w:tr>
        <w:trPr/>
        <w:tc>
          <w:tcPr>
            <w:tcW w:w="845" w:type="dxa"/>
            <w:tcBorders/>
            <w:vAlign w:val="center"/>
          </w:tcPr>
          <w:p>
            <w:pPr>
              <w:pStyle w:val="TableContents"/>
              <w:bidi w:val="0"/>
              <w:spacing w:before="0" w:after="0"/>
              <w:ind w:left="0" w:right="0" w:hanging="0"/>
              <w:jc w:val="left"/>
              <w:rPr/>
            </w:pPr>
            <w:bookmarkStart w:id="22" w:name="i10"/>
            <w:bookmarkEnd w:id="22"/>
            <w:r>
              <w:rPr>
                <w:rFonts w:ascii="Times New Roman" w:hAnsi="Times New Roman"/>
                <w:b/>
                <w:caps w:val="false"/>
                <w:smallCaps w:val="false"/>
                <w:sz w:val="20"/>
              </w:rPr>
              <w:t>ITEM </w:t>
            </w:r>
            <w:r>
              <w:rPr>
                <w:rStyle w:val="Emphasis"/>
                <w:rFonts w:ascii="Times New Roman" w:hAnsi="Times New Roman"/>
                <w:b/>
                <w:caps w:val="false"/>
                <w:smallCaps w:val="false"/>
                <w:sz w:val="20"/>
              </w:rPr>
              <w:t>10.</w:t>
            </w:r>
          </w:p>
        </w:tc>
        <w:tc>
          <w:tcPr>
            <w:tcW w:w="66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DIRECTORS, EXECUTIVE OFFICERS AND CORPORATE GOVERNANCE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We have adopted an insider trading and compliance policy applicable to our directors, officers and employees, that we believe is reasonably designed to promote compliance with insider trading laws and regulations and the NASDAQ stock exchange listing standards. A copy of our policy is included with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as Exhibit 19.1.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other information required by this Item will be included in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Proxy Statement, which will be filed with the SEC in connection with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Meeting of Stockholders within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after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is incorporated by reference herein.</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left"/>
        <w:rPr/>
      </w:pPr>
      <w:r>
        <w:rPr/>
        <w:t xml:space="preserve">  </w:t>
      </w:r>
    </w:p>
    <w:tbl>
      <w:tblPr>
        <w:tblW w:w="3700" w:type="dxa"/>
        <w:jc w:val="left"/>
        <w:tblInd w:w="0" w:type="dxa"/>
        <w:tblLayout w:type="fixed"/>
        <w:tblCellMar>
          <w:top w:w="0" w:type="dxa"/>
          <w:left w:w="0" w:type="dxa"/>
          <w:bottom w:w="0" w:type="dxa"/>
          <w:right w:w="0" w:type="dxa"/>
        </w:tblCellMar>
      </w:tblPr>
      <w:tblGrid>
        <w:gridCol w:w="845"/>
        <w:gridCol w:w="2855"/>
      </w:tblGrid>
      <w:tr>
        <w:trPr/>
        <w:tc>
          <w:tcPr>
            <w:tcW w:w="845" w:type="dxa"/>
            <w:tcBorders/>
            <w:vAlign w:val="center"/>
          </w:tcPr>
          <w:p>
            <w:pPr>
              <w:pStyle w:val="TableContents"/>
              <w:bidi w:val="0"/>
              <w:spacing w:before="0" w:after="0"/>
              <w:ind w:left="0" w:right="0" w:hanging="0"/>
              <w:jc w:val="left"/>
              <w:rPr/>
            </w:pPr>
            <w:bookmarkStart w:id="23" w:name="i11"/>
            <w:bookmarkEnd w:id="23"/>
            <w:r>
              <w:rPr>
                <w:rFonts w:ascii="Times New Roman" w:hAnsi="Times New Roman"/>
                <w:b/>
                <w:caps w:val="false"/>
                <w:smallCaps w:val="false"/>
                <w:sz w:val="20"/>
              </w:rPr>
              <w:t>ITEM </w:t>
            </w:r>
            <w:r>
              <w:rPr>
                <w:rStyle w:val="Emphasis"/>
                <w:rFonts w:ascii="Times New Roman" w:hAnsi="Times New Roman"/>
                <w:b/>
                <w:caps w:val="false"/>
                <w:smallCaps w:val="false"/>
                <w:sz w:val="20"/>
              </w:rPr>
              <w:t>11.</w:t>
            </w:r>
          </w:p>
        </w:tc>
        <w:tc>
          <w:tcPr>
            <w:tcW w:w="28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EXECUTIVE COMPENSATION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will be included in our 2026 Proxy Statement, which will be filed with the SEC,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834"/>
        <w:gridCol w:w="9371"/>
      </w:tblGrid>
      <w:tr>
        <w:trPr/>
        <w:tc>
          <w:tcPr>
            <w:tcW w:w="83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4" w:name="i12"/>
            <w:bookmarkEnd w:id="24"/>
            <w:r>
              <w:rPr>
                <w:rFonts w:ascii="Times New Roman" w:hAnsi="Times New Roman"/>
                <w:b/>
                <w:caps w:val="false"/>
                <w:smallCaps w:val="false"/>
                <w:sz w:val="20"/>
              </w:rPr>
              <w:t>ITEM 12.</w:t>
            </w:r>
          </w:p>
        </w:tc>
        <w:tc>
          <w:tcPr>
            <w:tcW w:w="937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SECURITY OWNERSHIP OF CERTAIN BENEFICIAL OWNERS AND MANAGEMENT AND RELATED STOCKHOLDER MATTERS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will be included in our 2026 Proxy Statement, which will be filed with the SEC,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845"/>
        <w:gridCol w:w="8750"/>
      </w:tblGrid>
      <w:tr>
        <w:trPr/>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5" w:name="i13"/>
            <w:bookmarkEnd w:id="25"/>
            <w:r>
              <w:rPr>
                <w:rFonts w:ascii="Times New Roman" w:hAnsi="Times New Roman"/>
                <w:b/>
                <w:caps w:val="false"/>
                <w:smallCaps w:val="false"/>
                <w:sz w:val="20"/>
              </w:rPr>
              <w:t>ITEM 13.</w:t>
            </w:r>
          </w:p>
        </w:tc>
        <w:tc>
          <w:tcPr>
            <w:tcW w:w="8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CERTAIN RELATIONSHIPS AND RELATED TRANSACTIONS, AND DIRECTOR INDEPENDENCE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will be included in our 2026 Proxy Statement, which will be filed with the SEC,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845"/>
        <w:gridCol w:w="4490"/>
      </w:tblGrid>
      <w:tr>
        <w:trPr/>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6" w:name="i14"/>
            <w:bookmarkEnd w:id="26"/>
            <w:r>
              <w:rPr>
                <w:rFonts w:ascii="Times New Roman" w:hAnsi="Times New Roman"/>
                <w:b/>
                <w:caps w:val="false"/>
                <w:smallCaps w:val="false"/>
                <w:sz w:val="20"/>
              </w:rPr>
              <w:t>ITEM 14.</w:t>
            </w:r>
          </w:p>
        </w:tc>
        <w:tc>
          <w:tcPr>
            <w:tcW w:w="44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PRINCIPAL ACCOUNTING FEES AND SERVICES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will be included in our 2026 Proxy Statement, which will be filed with the SEC,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7" w:name="p4"/>
      <w:bookmarkEnd w:id="27"/>
      <w:r>
        <w:rPr>
          <w:rFonts w:ascii="Times New Roman" w:hAnsi="Times New Roman"/>
          <w:b/>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845"/>
        <w:gridCol w:w="4670"/>
      </w:tblGrid>
      <w:tr>
        <w:trPr/>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8" w:name="i15"/>
            <w:bookmarkEnd w:id="28"/>
            <w:r>
              <w:rPr>
                <w:rFonts w:ascii="Times New Roman" w:hAnsi="Times New Roman"/>
                <w:b/>
                <w:caps w:val="false"/>
                <w:smallCaps w:val="false"/>
                <w:sz w:val="20"/>
              </w:rPr>
              <w:t>ITEM 15.</w:t>
            </w:r>
          </w:p>
        </w:tc>
        <w:tc>
          <w:tcPr>
            <w:tcW w:w="46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EXHIBITS, FINANCIAL STATEMENT SCHEDULES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Reference is made to the Index to Consolidated Financial Statements beginning on Page F-1 hereof.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Financial Statement Schedules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Documents Filed as Part of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(1)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255" w:type="dxa"/>
        <w:jc w:val="left"/>
        <w:tblInd w:w="0" w:type="dxa"/>
        <w:tblLayout w:type="fixed"/>
        <w:tblCellMar>
          <w:top w:w="0" w:type="dxa"/>
          <w:left w:w="0" w:type="dxa"/>
          <w:bottom w:w="0" w:type="dxa"/>
          <w:right w:w="0" w:type="dxa"/>
        </w:tblCellMar>
      </w:tblPr>
      <w:tblGrid>
        <w:gridCol w:w="110"/>
        <w:gridCol w:w="8795"/>
        <w:gridCol w:w="60"/>
        <w:gridCol w:w="29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ind_report">
              <w:r>
                <w:rPr>
                  <w:rStyle w:val="InternetLink"/>
                  <w:rFonts w:ascii="Times New Roman" w:hAnsi="Times New Roman"/>
                  <w:caps w:val="false"/>
                  <w:smallCaps w:val="false"/>
                  <w:sz w:val="20"/>
                </w:rPr>
                <w:t>Report of Independent Registered Public Accounting Firm</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ind_report">
              <w:r>
                <w:rPr>
                  <w:rStyle w:val="InternetLink"/>
                  <w:rFonts w:ascii="Times New Roman" w:hAnsi="Times New Roman"/>
                  <w:caps w:val="false"/>
                  <w:smallCaps w:val="false"/>
                  <w:sz w:val="20"/>
                </w:rPr>
                <w:t>F-2</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bal_sheets">
              <w:r>
                <w:rPr>
                  <w:rStyle w:val="InternetLink"/>
                  <w:rFonts w:ascii="Times New Roman" w:hAnsi="Times New Roman"/>
                  <w:caps w:val="false"/>
                  <w:smallCaps w:val="false"/>
                  <w:sz w:val="20"/>
                </w:rPr>
                <w:t xml:space="preserve">Consolidated Balance Sheets at </w:t>
              </w:r>
            </w:hyperlink>
            <w:hyperlink w:anchor="bal_sheets">
              <w:r>
                <w:rPr>
                  <w:rStyle w:val="InternetLink"/>
                  <w:rFonts w:ascii="Times New Roman" w:hAnsi="Times New Roman"/>
                  <w:caps w:val="false"/>
                  <w:smallCaps w:val="false"/>
                  <w:sz w:val="20"/>
                </w:rPr>
                <w:t>December 31, 2025 and 2024</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bal_sheets">
              <w:r>
                <w:rPr>
                  <w:rStyle w:val="InternetLink"/>
                  <w:rFonts w:ascii="Times New Roman" w:hAnsi="Times New Roman"/>
                  <w:caps w:val="false"/>
                  <w:smallCaps w:val="false"/>
                  <w:sz w:val="20"/>
                </w:rPr>
                <w:t>F-4</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 xml:space="preserve">Consolidated Statements of Operations for the Years Ended </w:t>
              </w:r>
            </w:hyperlink>
            <w:hyperlink w:anchor="ops">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F-5</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loss">
              <w:r>
                <w:rPr>
                  <w:rStyle w:val="InternetLink"/>
                  <w:rFonts w:ascii="Times New Roman" w:hAnsi="Times New Roman"/>
                  <w:caps w:val="false"/>
                  <w:smallCaps w:val="false"/>
                  <w:sz w:val="20"/>
                </w:rPr>
                <w:t>Consolidated Statements of Comprehensi</w:t>
              </w:r>
            </w:hyperlink>
            <w:hyperlink w:anchor="loss">
              <w:r>
                <w:rPr>
                  <w:rStyle w:val="InternetLink"/>
                  <w:rFonts w:ascii="Times New Roman" w:hAnsi="Times New Roman"/>
                  <w:caps w:val="false"/>
                  <w:smallCaps w:val="false"/>
                  <w:sz w:val="20"/>
                  <w:shd w:fill="FFFFFF" w:val="clear"/>
                </w:rPr>
                <w:t>ve Income for t</w:t>
              </w:r>
            </w:hyperlink>
            <w:hyperlink w:anchor="loss">
              <w:r>
                <w:rPr>
                  <w:rStyle w:val="InternetLink"/>
                  <w:rFonts w:ascii="Times New Roman" w:hAnsi="Times New Roman"/>
                  <w:caps w:val="false"/>
                  <w:smallCaps w:val="false"/>
                  <w:sz w:val="20"/>
                </w:rPr>
                <w:t xml:space="preserve">he Years Ended </w:t>
              </w:r>
            </w:hyperlink>
            <w:hyperlink w:anchor="loss">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loss">
              <w:r>
                <w:rPr>
                  <w:rStyle w:val="InternetLink"/>
                  <w:rFonts w:ascii="Times New Roman" w:hAnsi="Times New Roman"/>
                  <w:caps w:val="false"/>
                  <w:smallCaps w:val="false"/>
                  <w:sz w:val="20"/>
                </w:rPr>
                <w:t>F-6</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Stockholders’ Equity for the Years Ended December 31, 2025, 2024 and 2023</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F-7</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 xml:space="preserve">Consolidated Statements of Cash Flows for the Years Ended </w:t>
              </w:r>
            </w:hyperlink>
            <w:hyperlink w:anchor="cf">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F-8</w:t>
              </w:r>
            </w:hyperlink>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(2) Consolidated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Consolidated Financial Statement Schedules have been omitted because they are either not required or not applicable, or because the information required to be presented is included in the consolidated financial statements or the notes thereto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exhibits listed on the accompanying Exhibit Index are filed or incorporated by reference as part of this Annual Report and such Exhibit Index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845"/>
        <w:gridCol w:w="2120"/>
      </w:tblGrid>
      <w:tr>
        <w:trPr/>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29" w:name="i16"/>
            <w:bookmarkEnd w:id="29"/>
            <w:r>
              <w:rPr>
                <w:rFonts w:ascii="Times New Roman" w:hAnsi="Times New Roman"/>
                <w:b/>
                <w:caps w:val="false"/>
                <w:smallCaps w:val="false"/>
                <w:sz w:val="20"/>
              </w:rPr>
              <w:t>ITEM 16.</w:t>
            </w:r>
          </w:p>
        </w:tc>
        <w:tc>
          <w:tcPr>
            <w:tcW w:w="21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FORM 10-K SUMMARY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30" w:name="exhibits"/>
      <w:bookmarkEnd w:id="30"/>
      <w:r>
        <w:rPr>
          <w:rFonts w:ascii="Times New Roman" w:hAnsi="Times New Roman"/>
          <w:caps w:val="false"/>
          <w:smallCaps w:val="false"/>
          <w:sz w:val="20"/>
          <w:u w:val="single"/>
        </w:rPr>
        <w:t xml:space="preserve">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6"/>
        <w:gridCol w:w="60"/>
        <w:gridCol w:w="9409"/>
      </w:tblGrid>
      <w:tr>
        <w:trPr/>
        <w:tc>
          <w:tcPr>
            <w:tcW w:w="73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0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Agreement and Plan of Merger, dated September 29, 2011, by and among Innovative Acquisitions Corp., IAC Merger Corporation, a Delaware corporation and wholly-owned subsidiary of the Company, and Puma Biotechnology, Inc., a Delaware corporation (filed as Exhibit 2.1 to the Company’s Current Report on Form 8-K filed with the SEC on October 4,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Certificate of Merger relating to the merger of IAC Merger Corporation with and into Puma Biotechnology, Inc., filed with the Secretary of State of Delaware on October 4, 2011 (filed as Exhibit 3.1 to the Company’s Current Report on Form 8-K filed with the SEC on October 11,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Certificate of Ownership and Merger relating to the merger of Puma Biotechnology, Inc. with and into Innovative Acquisitions Corp., filed with the Secretary of State of the State of Delaware on October 4, 2011 (filed as Exhibit 3.2 to the Company’s Current Report on Form 8-K filed with the SEC on October 11,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Second Amended and Restated Certificate of Incorporation of the Company, as filed with the Secretary of State of the State of Delaware on June 14, 2016 (filed as Exhibit 3.1 to the Company’s Current Report on Form 8-K filed with the SEC on June 15, 2016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hyperlink r:id="rId8">
              <w:r>
                <w:rPr>
                  <w:rStyle w:val="InternetLink"/>
                  <w:u w:val="single"/>
                </w:rPr>
                <w:t>Fifth Amended and Restated Bylaws of the Company (filed as Exhibit 3.1 to the Company’s Current Report on Form 8-K filed with the SEC on June 24, 2025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Form of Common Stock Certificate (filed as Exhibit 4.1 to the Company’s Registration Statement on Form S-1/A filed with the SEC on February 1, 2012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Warrant to Purchase Shares of Common Stock of Puma Biotechnology, Inc., dated October 4, 2011, issued to Alan H. Auerbach (filed as Exhibit 4.2 to the Company’s Current Report on Form 8-K filed with the SEC on October 11,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283"/>
              <w:jc w:val="left"/>
              <w:rPr/>
            </w:pPr>
            <w:r>
              <w:rPr/>
              <w:t>4.2(a)#</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hyperlink r:id="rId11">
              <w:r>
                <w:rPr>
                  <w:rStyle w:val="InternetLink"/>
                </w:rPr>
                <w:t>Amendment to Warrant to Purchase Shares of Common Stock of Puma Biotechnology, Inc., dated April 1, 2021, by and between the Company and Alan H. Auerbach (filed as Exhibit 4.1 to the Company’s Current Report on Form 8-K filed with the SEC on June 17, 2021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w:anchor="ex_920649.htm">
              <w:r>
                <w:rPr>
                  <w:rStyle w:val="InternetLink"/>
                  <w:rFonts w:ascii="Times New Roman" w:hAnsi="Times New Roman"/>
                  <w:caps w:val="false"/>
                  <w:smallCaps w:val="false"/>
                  <w:sz w:val="20"/>
                </w:rPr>
                <w:t>Description of the Company’s Securities Registered Pursuant to Section 12 of the Securities Exchange Act of 1934</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10.1(a)*</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License Agreement, dated August 18, 2011, by and between the Company, as successor to Puma Biotechnology, Inc., and Pfizer Inc. (filed as Exhibit 10.1 to the Company’s Current Report on Form 8-K/A filed with the SEC on December 16,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10.1(b)*</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Amendment No. 1 to License Agreement dated July 18, 2014, between the Company and Pfizer Inc. (filed as Exhibit 10.1 to the Company’s Quarterly Report on Form 10-Q filed with the SEC on November 10, 2014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Pfizer Letter Agreement dated June 8, 2020, by and between the Company and Pfizer Inc. (filed as Exhibit 10.2 to the Company’s Quarterly Report on Form 10-Q filed with the SEC on August 6, 2020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Amendment No. 2 to License Agreement dated October 29, 2020, between the Company and Pfizer Inc. (filed as Exhibit 10.1(d) to the Company's Annual Report on Form 10-K filed with the SEC on March 1, 2021 and incorporated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10.2(a)#</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Puma Biotechnology, Inc. 2011 Incentive Award Plan (filed as Exhibit 10.4 to the Company’s Current Report on Form 8-K filed with the SEC on October 11, 2011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10.2(b)#</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First Amendment to Puma Biotechnology, Inc. 2011 Incentive Award Plan (filed as Appendix A to the Company’s Proxy Statement on Form DEFR14A filed with the SEC on June 4, 2014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10.2(c)#</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Second Amendment to Puma Biotechnology, Inc. 2011 Incentive Award Plan (filed as Exhibit 10.1 to the Company’s Quarterly Report on Form 10-Q filed with the SEC on August 10, 2015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10.2(d)#</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rPr>
                <w:t>Third Amendment to Puma Biotechnology, Inc. 2011 Incentive Award Plan (filed as Exhibit 10.1 to the Company’s Current Report on Form 8-K filed with the SEC on June 14, 2017 and incorporated herein by reference)</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10.2(e)#</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rPr>
                <w:t>Fourth Amendment to Puma Biotechnology, Inc. 2011 Incentive Award Plan (filed as Exhibit 10.2 to the Company’s Current Report on Form 8-K filed with the SEC on June 14, 2017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10.2(f)#</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21">
              <w:r>
                <w:rPr>
                  <w:rStyle w:val="InternetLink"/>
                  <w:rFonts w:ascii="Times New Roman" w:hAnsi="Times New Roman"/>
                  <w:sz w:val="20"/>
                  <w:shd w:fill="FFFFFF" w:val="clear"/>
                </w:rPr>
                <w:t>Fifth Amendment to Puma Biotechnology, Inc. 2011 Incentive Award Plan (filed as Exhibit 10.1 to the Company’s Current Report on Form 8-K filed with the SEC on June 17, 2021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shd w:fill="FFFFFF" w:val="clear"/>
              </w:rPr>
            </w:pPr>
            <w:r>
              <w:rPr>
                <w:shd w:fill="FFFFFF" w:val="clear"/>
              </w:rPr>
              <w:t>10.2(g)#</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2">
              <w:r>
                <w:rPr>
                  <w:rStyle w:val="InternetLink"/>
                </w:rPr>
                <w:t>Sixth Amendment to Puma Biotechnology, Inc. 2011 Incentive Award Plan (filed as Exhibit 10.1 to the Company’s Current Report on Form 8-K filed with the SEC on June 24, 2024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10.2(h)#</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3">
              <w:r>
                <w:rPr>
                  <w:rStyle w:val="InternetLink"/>
                </w:rPr>
                <w:t>Puma Biotechnology, Inc. 2017 Employment Inducement Incentive Award Plan (filed as Exhibit 99.1 to the Company’s Registration Statement on Form S-8 filed with the SEC on February 28, 2020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10.2(i)#</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rPr>
                <w:t>First Amendment to Puma Biotechnology, Inc. 2017 Employment Inducement Incentive Award Plan (filed as Exhibit 99.2 to the Company’s Registration Statement on Form S-8 filed with the SEC on February 28, 2020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10.2(j)#</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5">
              <w:r>
                <w:rPr>
                  <w:rStyle w:val="InternetLink"/>
                </w:rPr>
                <w:t>Second Amendment to Puma Biotechnology, Inc. 2017 Incentive Award Plan (filed as Exhibit 99.12 to the Company's Current Report on Form S-8 filed with the SEC on September 16, 2021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10.2(k)#</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rPr>
                <w:t>Form of Stock Option Grant Notice and Stock Option Agreement, issued pursuant to the 2011 Incentive Award Plan (filed as Exhibit 10.5 to the Company’s Annual Report on Form 10-K filed with the SEC on March 29, 2012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10.2(l)#</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rPr>
                <w:t>Form of Restricted Stock Unit Award Agreement, issued pursuant to the 2011 Incentive Award Plan (filed as Exhibit 10.1 to the Company’s Current Report on Form 8-K filed with the SEC on October 17, 2016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10.2(m)#</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28">
              <w:r>
                <w:rPr>
                  <w:rStyle w:val="InternetLink"/>
                  <w:rFonts w:ascii="Times New Roman" w:hAnsi="Times New Roman"/>
                  <w:sz w:val="20"/>
                </w:rPr>
                <w:t>Form of Stock Option Grant Notice and Stock Option Agreement, issued pursuant to the 2017 Employment Inducement Incentive Award Plan (filed as Exhibit 10.2(k) to the Company’s Annual Report on Form 10-K filed with the SEC on March 1, 2019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shd w:fill="FFFFFF" w:val="clear"/>
              </w:rPr>
            </w:pPr>
            <w:r>
              <w:rPr>
                <w:shd w:fill="FFFFFF" w:val="clear"/>
              </w:rPr>
              <w:t>10.2(n)#</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9">
              <w:r>
                <w:rPr>
                  <w:rStyle w:val="InternetLink"/>
                </w:rPr>
                <w:t>Form of Restricted Stock Unit Award Agreement, issued pursuant to the 2017 Employment Inducement Award Plan (filed as Exhibit 10.2(n) to the Company’s Annual Report on Form 10-K filed with the SEC on February 27, 2025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10.3(a)</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rPr>
                <w:t>Office Lease by and between the Company and CA - 10880 Wilshire Limited Partnership, executed on December 7, 2011 (filed as Exhibit 10.1 to the Company’s Current Report on Form 8-K filed with the SEC on December 13, 2011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10.3(b)</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rPr>
                <w:t>First Amendment to the Office Lease, dated as of November 28, 2012, by and between the Company and CA - 10880 Wilshire Limited Partnership (filed as Exhibit 10.13(b) to the Company’s Annual Report on Form 10-K filed with the SEC on April 1, 2013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10.3(c)</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32">
              <w:r>
                <w:rPr>
                  <w:rStyle w:val="InternetLink"/>
                  <w:rFonts w:ascii="Times New Roman" w:hAnsi="Times New Roman"/>
                  <w:caps w:val="false"/>
                  <w:smallCaps w:val="false"/>
                  <w:sz w:val="20"/>
                </w:rPr>
                <w:t>Second Amendment to the Office Lease, dated as of December 3, 2013, by and between the Company and CA - 10880 Wilshire Limited Partnership (filed as Exhibit 10.6(c) to the Company’s Annual Report on Form 10-K filed with the SEC on March 3, 2014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10.3(d)</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33">
              <w:r>
                <w:rPr>
                  <w:rStyle w:val="InternetLink"/>
                  <w:rFonts w:ascii="Times New Roman" w:hAnsi="Times New Roman"/>
                  <w:caps w:val="false"/>
                  <w:smallCaps w:val="false"/>
                  <w:sz w:val="20"/>
                </w:rPr>
                <w:t>Third Amendment to the Office Lease, dated as of March 18, 2014, by and between the Company and CA - 10880 Wilshire Limited Partnership (filed as Exhibit 10.5(d) to the Company’s Annual Report on Form 10-K filed with the SEC on March 2, 2015 and incorporated herein by reference)</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10.3(e)</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0"/>
              <w:ind w:left="0" w:right="0" w:hanging="0"/>
              <w:jc w:val="left"/>
              <w:rPr/>
            </w:pPr>
            <w:hyperlink r:id="rId34">
              <w:r>
                <w:rPr>
                  <w:rStyle w:val="InternetLink"/>
                  <w:rFonts w:ascii="Times New Roman" w:hAnsi="Times New Roman"/>
                  <w:caps w:val="false"/>
                  <w:smallCaps w:val="false"/>
                  <w:sz w:val="20"/>
                </w:rPr>
                <w:t>Fourth Amendment to the Office Lease, dated as of July 31, 2015, by and between the Company and CA - 10880 Wilshire Limited Partnership (filed as Exhibit 10.1 to the Company’s Quarterly Report on Form 10-Q filed with the SEC on November 9, 2015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77"/>
        <w:gridCol w:w="60"/>
        <w:gridCol w:w="9568"/>
      </w:tblGrid>
      <w:tr>
        <w:trPr/>
        <w:tc>
          <w:tcPr>
            <w:tcW w:w="577" w:type="dxa"/>
            <w:tcBorders/>
            <w:vAlign w:val="center"/>
          </w:tcPr>
          <w:p>
            <w:pPr>
              <w:pStyle w:val="TableContents"/>
              <w:bidi w:val="0"/>
              <w:spacing w:before="0" w:after="283"/>
              <w:jc w:val="left"/>
              <w:rPr/>
            </w:pPr>
            <w:r>
              <w:rPr/>
              <w:t>10.3(f)</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35">
              <w:r>
                <w:rPr>
                  <w:rStyle w:val="InternetLink"/>
                </w:rPr>
                <w:t>Fifth Amendment to Office Lease, dated as of October 27, 2017, by and between the Company and DE PARK AVENUE 10880, LLC (filed as Exhibit 10.1 to the Company’s Quarterly Report on Form 10-Q filed with the SEC on August 7, 2025 and incorporated herein by reference)</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10.3(g)</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36">
              <w:r>
                <w:rPr>
                  <w:rStyle w:val="InternetLink"/>
                </w:rPr>
                <w:t>Sixth Amendment to Office Lease, dated as of July 23, 2025, by and between the Company and DE PARK AVENUE 10880, LLC (filed as Exhibit 10.2 to the Company’s Quarterly Report on Form 10-Q filed with the SEC on August 7, 2025 and incorporated herein by reference)</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0"/>
              <w:ind w:left="0" w:right="0" w:hanging="0"/>
              <w:jc w:val="left"/>
              <w:rPr/>
            </w:pPr>
            <w:hyperlink r:id="rId37">
              <w:r>
                <w:rPr>
                  <w:rStyle w:val="InternetLink"/>
                  <w:rFonts w:ascii="Times New Roman" w:hAnsi="Times New Roman"/>
                  <w:caps w:val="false"/>
                  <w:smallCaps w:val="false"/>
                  <w:sz w:val="20"/>
                </w:rPr>
                <w:t>Employment Agreement, dated January 19, 2012, by and between the Company and Alan H. Auerbach (filed as Exhibit 10.1 to the Company’s Current Report on Form 8-K filed with the SEC on January 24, 2012 and incorporated herein by reference)</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10.5(a)</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0"/>
              <w:ind w:left="0" w:right="0" w:hanging="0"/>
              <w:jc w:val="left"/>
              <w:rPr/>
            </w:pPr>
            <w:hyperlink r:id="rId38">
              <w:r>
                <w:rPr>
                  <w:rStyle w:val="InternetLink"/>
                  <w:rFonts w:ascii="Times New Roman" w:hAnsi="Times New Roman"/>
                  <w:caps w:val="false"/>
                  <w:smallCaps w:val="false"/>
                  <w:sz w:val="20"/>
                </w:rPr>
                <w:t>Office Lease by and between DWF III Gateway, LLC and the Company, executed June 7, 2012 (filed as Exhibit 10.1 to the Company’s Current Report on Form 8-K filed with the SEC on June 13, 2012 and incorporated herein by reference)</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10.5(b)</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0"/>
              <w:ind w:left="0" w:right="0" w:hanging="0"/>
              <w:jc w:val="left"/>
              <w:rPr/>
            </w:pPr>
            <w:hyperlink r:id="rId39">
              <w:r>
                <w:rPr>
                  <w:rStyle w:val="InternetLink"/>
                  <w:rFonts w:ascii="Times New Roman" w:hAnsi="Times New Roman"/>
                  <w:caps w:val="false"/>
                  <w:smallCaps w:val="false"/>
                  <w:sz w:val="20"/>
                </w:rPr>
                <w:t>First Amendment to Lease, dated as of May 19, 2014, by and between DWF III Gateway, LLC and Puma Biotechnology, Inc. (filed as Exhibit 10.1 to the Company’s Current Report on Form 8-K filed with the SEC on May 23, 2014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7"/>
        <w:gridCol w:w="60"/>
        <w:gridCol w:w="9648"/>
      </w:tblGrid>
      <w:tr>
        <w:trPr/>
        <w:tc>
          <w:tcPr>
            <w:tcW w:w="4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10.5(c)</w:t>
            </w:r>
          </w:p>
        </w:tc>
        <w:tc>
          <w:tcPr>
            <w:tcW w:w="60" w:type="dxa"/>
            <w:tcBorders/>
            <w:vAlign w:val="center"/>
          </w:tcPr>
          <w:p>
            <w:pPr>
              <w:pStyle w:val="TableContents"/>
              <w:bidi w:val="0"/>
              <w:spacing w:before="0" w:after="283"/>
              <w:jc w:val="left"/>
              <w:rPr/>
            </w:pPr>
            <w:r>
              <w:rPr/>
              <w:t> </w:t>
            </w:r>
          </w:p>
        </w:tc>
        <w:tc>
          <w:tcPr>
            <w:tcW w:w="9648" w:type="dxa"/>
            <w:tcBorders/>
            <w:vAlign w:val="center"/>
          </w:tcPr>
          <w:p>
            <w:pPr>
              <w:pStyle w:val="TableContents"/>
              <w:bidi w:val="0"/>
              <w:spacing w:before="0" w:after="0"/>
              <w:ind w:left="0" w:right="0" w:hanging="0"/>
              <w:jc w:val="left"/>
              <w:rPr/>
            </w:pPr>
            <w:hyperlink r:id="rId40">
              <w:r>
                <w:rPr>
                  <w:rStyle w:val="InternetLink"/>
                  <w:rFonts w:ascii="Times New Roman" w:hAnsi="Times New Roman"/>
                  <w:caps w:val="false"/>
                  <w:smallCaps w:val="false"/>
                  <w:sz w:val="20"/>
                </w:rPr>
                <w:t>Second Amendment to Lease, dated as of June 10, 2014, by and between DWF III Gateway, LLC and Puma Biotechnology, Inc. (filed as Exhibit 10.2 to the Company’s Quarterly Report on Form 10-Q filed with the SEC on August 10, 2015 and incorporated herein by reference)</w:t>
              </w:r>
            </w:hyperlink>
          </w:p>
        </w:tc>
      </w:tr>
      <w:tr>
        <w:trPr/>
        <w:tc>
          <w:tcPr>
            <w:tcW w:w="4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10.5(d)</w:t>
            </w:r>
          </w:p>
        </w:tc>
        <w:tc>
          <w:tcPr>
            <w:tcW w:w="60" w:type="dxa"/>
            <w:tcBorders/>
            <w:vAlign w:val="center"/>
          </w:tcPr>
          <w:p>
            <w:pPr>
              <w:pStyle w:val="TableContents"/>
              <w:bidi w:val="0"/>
              <w:spacing w:before="0" w:after="283"/>
              <w:jc w:val="left"/>
              <w:rPr/>
            </w:pPr>
            <w:r>
              <w:rPr/>
              <w:t> </w:t>
            </w:r>
          </w:p>
        </w:tc>
        <w:tc>
          <w:tcPr>
            <w:tcW w:w="9648" w:type="dxa"/>
            <w:tcBorders/>
            <w:vAlign w:val="center"/>
          </w:tcPr>
          <w:p>
            <w:pPr>
              <w:pStyle w:val="TableContents"/>
              <w:bidi w:val="0"/>
              <w:spacing w:before="0" w:after="0"/>
              <w:ind w:left="0" w:right="0" w:hanging="0"/>
              <w:jc w:val="left"/>
              <w:rPr/>
            </w:pPr>
            <w:hyperlink r:id="rId41">
              <w:r>
                <w:rPr>
                  <w:rStyle w:val="InternetLink"/>
                  <w:rFonts w:ascii="Times New Roman" w:hAnsi="Times New Roman"/>
                  <w:caps w:val="false"/>
                  <w:smallCaps w:val="false"/>
                  <w:sz w:val="20"/>
                </w:rPr>
                <w:t>Third Amendment to Lease, dated as of July 21, 2015, by and between PR 707 Gateway, LLC (as successor in interest to DWF III Gateway, LLC) and the Company (filed as Exhibit 10.2 to the Company’s Quarterly Report on Form 10-Q filed with the SEC on November 9, 2015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2"/>
        <w:gridCol w:w="60"/>
        <w:gridCol w:w="9503"/>
      </w:tblGrid>
      <w:tr>
        <w:trPr/>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0"/>
              <w:ind w:left="0" w:right="0" w:hanging="0"/>
              <w:jc w:val="left"/>
              <w:rPr/>
            </w:pPr>
            <w:hyperlink r:id="rId42">
              <w:r>
                <w:rPr>
                  <w:rStyle w:val="InternetLink"/>
                  <w:rFonts w:ascii="Times New Roman" w:hAnsi="Times New Roman"/>
                  <w:caps w:val="false"/>
                  <w:smallCaps w:val="false"/>
                  <w:sz w:val="20"/>
                </w:rPr>
                <w:t>Form of Indemnification Agreement (filed as Exhibit 10.17 to the Company’s Registration Statement on Form S-1/A filed with the SEC on October 15, 2012 and incorporated herein by reference)</w:t>
              </w:r>
            </w:hyperlink>
          </w:p>
        </w:tc>
      </w:tr>
      <w:tr>
        <w:trPr/>
        <w:tc>
          <w:tcPr>
            <w:tcW w:w="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10.7(a)#+</w:t>
            </w:r>
          </w:p>
        </w:tc>
        <w:tc>
          <w:tcPr>
            <w:tcW w:w="60"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hyperlink w:anchor="ex_923962.htm">
              <w:r>
                <w:rPr>
                  <w:rStyle w:val="InternetLink"/>
                </w:rPr>
                <w:t>Amended Non-Employee Director Compensation Program, effective April 1, 2026</w:t>
              </w:r>
            </w:hyperlink>
          </w:p>
        </w:tc>
      </w:tr>
      <w:tr>
        <w:trPr/>
        <w:tc>
          <w:tcPr>
            <w:tcW w:w="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642" w:type="dxa"/>
            <w:tcBorders/>
            <w:vAlign w:val="center"/>
          </w:tcPr>
          <w:p>
            <w:pPr>
              <w:pStyle w:val="TableContents"/>
              <w:bidi w:val="0"/>
              <w:spacing w:before="0" w:after="283"/>
              <w:jc w:val="left"/>
              <w:rPr/>
            </w:pPr>
            <w:r>
              <w:rPr/>
              <w:t>10.7(b)#</w:t>
            </w:r>
          </w:p>
        </w:tc>
        <w:tc>
          <w:tcPr>
            <w:tcW w:w="60"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hyperlink r:id="rId43">
              <w:r>
                <w:rPr>
                  <w:rStyle w:val="InternetLink"/>
                </w:rPr>
                <w:t>Amended Non-Employee Director Compensation Program, dated April 27, 2022 (filed as Exhibit 10.1 to the Company’s Current Report on Form 10-Q filed with the SEC on May 5, 2022 and incorporated herein by reference)</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1"/>
        <w:gridCol w:w="60"/>
        <w:gridCol w:w="9484"/>
      </w:tblGrid>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10.8(a)*</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44">
              <w:r>
                <w:rPr>
                  <w:rStyle w:val="InternetLink"/>
                  <w:rFonts w:ascii="Times New Roman" w:hAnsi="Times New Roman"/>
                  <w:caps w:val="false"/>
                  <w:smallCaps w:val="false"/>
                  <w:sz w:val="20"/>
                </w:rPr>
                <w:t>License Agreement, dated November 20, 2017, by and between the Company and Specialised Therapeutics Asia Pte Ltd. (filed as Exhibit 10.13 to the Company’s Annual Report on Form 10-K filed with the SEC on March 9,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10.8(b)*</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45">
              <w:r>
                <w:rPr>
                  <w:rStyle w:val="InternetLink"/>
                  <w:rFonts w:ascii="Times New Roman" w:hAnsi="Times New Roman"/>
                  <w:caps w:val="false"/>
                  <w:smallCaps w:val="false"/>
                  <w:sz w:val="20"/>
                </w:rPr>
                <w:t>Amendment No. 1, dated April 20, 2018, to the License Agreement by and between the Company and Specialised Therapeutics Asia Pte Ltd. (filed as Exhibit 10.2 to the Company’s Quarterly Report on Form 10-Q filed with the SEC on August 9,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46">
              <w:r>
                <w:rPr>
                  <w:rStyle w:val="InternetLink"/>
                  <w:rFonts w:ascii="Times New Roman" w:hAnsi="Times New Roman"/>
                  <w:caps w:val="false"/>
                  <w:smallCaps w:val="false"/>
                  <w:sz w:val="20"/>
                </w:rPr>
                <w:t>Letter Agreement, dated December 8, 2017, between the Company and Douglas Hunt (filed as Exhibit 10.15 to the Company’s Annual Report on Form 10-K filed with the SEC on March 9,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10.10(a)*</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47">
              <w:r>
                <w:rPr>
                  <w:rStyle w:val="InternetLink"/>
                  <w:rFonts w:ascii="Times New Roman" w:hAnsi="Times New Roman"/>
                  <w:caps w:val="false"/>
                  <w:smallCaps w:val="false"/>
                  <w:sz w:val="20"/>
                </w:rPr>
                <w:t>Collaboration and License Agreement, dated January 30, 2018, between the Company and CANbridge Biomed Limited (as successor in interest to CANbridgepharma Limited) (filed as Exhibit 10.1 to the Company’s Quarterly Report on Form 10-Q filed with the SEC on May 10,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10.10(b)*</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48">
              <w:r>
                <w:rPr>
                  <w:rStyle w:val="InternetLink"/>
                  <w:rFonts w:ascii="Times New Roman" w:hAnsi="Times New Roman"/>
                  <w:caps w:val="false"/>
                  <w:smallCaps w:val="false"/>
                  <w:sz w:val="20"/>
                </w:rPr>
                <w:t>Side Letter Agreement, dated November 19, 2018, between the Company and CANbridge Biomed Limited (as successor in interest to CANbridgepharma Limited) (filed as Exhibit 10.15(b) to the Company’s Annual Report on Form 10-K filed with the SEC on March 1, 2019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10.10(c)**</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hyperlink r:id="rId49">
              <w:r>
                <w:rPr>
                  <w:rStyle w:val="InternetLink"/>
                  <w:u w:val="single"/>
                </w:rPr>
                <w:t>Termination Agreement, dated February 24, 2021, by and between the Company and CANbridge BIOMED Limited (filed as Exhibit 10.3 to the Company</w:t>
              </w:r>
            </w:hyperlink>
            <w:hyperlink r:id="rId50">
              <w:r>
                <w:rPr>
                  <w:rStyle w:val="InternetLink"/>
                </w:rPr>
                <w:t>’</w:t>
              </w:r>
            </w:hyperlink>
            <w:hyperlink r:id="rId51">
              <w:r>
                <w:rPr>
                  <w:rStyle w:val="InternetLink"/>
                  <w:u w:val="single"/>
                </w:rPr>
                <w:t>s Quarterly Report on Form 10-Q filed with the SEC on May 6, 2021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52">
              <w:r>
                <w:rPr>
                  <w:rStyle w:val="InternetLink"/>
                  <w:rFonts w:ascii="Times New Roman" w:hAnsi="Times New Roman"/>
                  <w:caps w:val="false"/>
                  <w:smallCaps w:val="false"/>
                  <w:sz w:val="20"/>
                </w:rPr>
                <w:t>License Agreement, dated March 30, 2018, between the Company and Pint Pharma International SA (filed as Exhibit 10.2 to the Company’s Quarterly Report on Form 10-Q filed with the SEC on May 10,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53">
              <w:r>
                <w:rPr>
                  <w:rStyle w:val="InternetLink"/>
                  <w:rFonts w:ascii="Times New Roman" w:hAnsi="Times New Roman"/>
                  <w:caps w:val="false"/>
                  <w:smallCaps w:val="false"/>
                  <w:sz w:val="20"/>
                </w:rPr>
                <w:t>Supply Agreement, dated April 20, 2018, by and between the Company and Specialised Therapeutics Asia Pte. Ltd. (filed as Exhibit 10.3 to the Company’s Quarterly Report on Form 10-Q filed with the SEC on August 9,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54">
              <w:r>
                <w:rPr>
                  <w:rStyle w:val="InternetLink"/>
                  <w:rFonts w:ascii="Times New Roman" w:hAnsi="Times New Roman"/>
                  <w:caps w:val="false"/>
                  <w:smallCaps w:val="false"/>
                  <w:sz w:val="20"/>
                </w:rPr>
                <w:t>Letter Agreement, dated September 28, 2018, between the Company and Maximo F. Nougues (filed as Exhibit 10.1 to the Company’s Current Report on Form 8-K filed with the SEC on November 9, 2018 and incorporated herein by reference)</w:t>
              </w:r>
            </w:hyperlink>
          </w:p>
        </w:tc>
      </w:tr>
      <w:tr>
        <w:trPr/>
        <w:tc>
          <w:tcPr>
            <w:tcW w:w="6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10.14(a)*</w:t>
            </w:r>
          </w:p>
        </w:tc>
        <w:tc>
          <w:tcPr>
            <w:tcW w:w="60"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0"/>
              <w:ind w:left="0" w:right="0" w:hanging="0"/>
              <w:jc w:val="left"/>
              <w:rPr/>
            </w:pPr>
            <w:hyperlink r:id="rId55">
              <w:r>
                <w:rPr>
                  <w:rStyle w:val="InternetLink"/>
                  <w:rFonts w:ascii="Times New Roman" w:hAnsi="Times New Roman"/>
                  <w:caps w:val="false"/>
                  <w:smallCaps w:val="false"/>
                  <w:sz w:val="20"/>
                </w:rPr>
                <w:t>License Agreement, dated January 9, 2019, by and between the Company and Knight Therapeutics Inc. (filed as Exhibit 10.19 to the Company’s Annual Report on Form 10-K filed with the SEC on March 1, 2019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3"/>
        <w:gridCol w:w="60"/>
        <w:gridCol w:w="9372"/>
      </w:tblGrid>
      <w:tr>
        <w:trPr/>
        <w:tc>
          <w:tcPr>
            <w:tcW w:w="7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10.14(b)**</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0"/>
              <w:ind w:left="0" w:right="0" w:hanging="0"/>
              <w:jc w:val="left"/>
              <w:rPr/>
            </w:pPr>
            <w:hyperlink r:id="rId56">
              <w:r>
                <w:rPr>
                  <w:rStyle w:val="InternetLink"/>
                  <w:rFonts w:ascii="Times New Roman" w:hAnsi="Times New Roman"/>
                  <w:caps w:val="false"/>
                  <w:smallCaps w:val="false"/>
                  <w:sz w:val="20"/>
                </w:rPr>
                <w:t>Amendment to the License Agreement, dated December 18, 2019, by and between the Company and Knight Therapeutics, Inc. (filed as Exhibit 10.17(b) to the Company’s Annual Report on Form 10-K filed with the SEC on February 28, 2020 and incorporated herein by reference)</w:t>
              </w:r>
            </w:hyperlink>
          </w:p>
        </w:tc>
      </w:tr>
      <w:tr>
        <w:trPr/>
        <w:tc>
          <w:tcPr>
            <w:tcW w:w="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10.15(a)**</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0"/>
              <w:ind w:left="0" w:right="0" w:hanging="0"/>
              <w:jc w:val="left"/>
              <w:rPr/>
            </w:pPr>
            <w:hyperlink r:id="rId57">
              <w:r>
                <w:rPr>
                  <w:rStyle w:val="InternetLink"/>
                  <w:rFonts w:ascii="Times New Roman" w:hAnsi="Times New Roman"/>
                  <w:caps w:val="false"/>
                  <w:smallCaps w:val="false"/>
                  <w:sz w:val="20"/>
                </w:rPr>
                <w:t>License Agreement, dated March 29, 2019, by and between the Company and Pierre Fabre Medicament SAS (filed as Exhibit 10.3 to the Company’s Quarterly Report on Form 10-Q filed with the SEC on May 10, 2019 and incorporated herein by reference)</w:t>
              </w:r>
            </w:hyperlink>
          </w:p>
        </w:tc>
      </w:tr>
      <w:tr>
        <w:trPr/>
        <w:tc>
          <w:tcPr>
            <w:tcW w:w="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10.15(b)**</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0"/>
              <w:ind w:left="0" w:right="0" w:hanging="0"/>
              <w:jc w:val="left"/>
              <w:rPr/>
            </w:pPr>
            <w:hyperlink r:id="rId58">
              <w:r>
                <w:rPr>
                  <w:rStyle w:val="InternetLink"/>
                  <w:rFonts w:ascii="Times New Roman" w:hAnsi="Times New Roman"/>
                  <w:caps w:val="false"/>
                  <w:smallCaps w:val="false"/>
                  <w:sz w:val="20"/>
                </w:rPr>
                <w:t>First Amendment to the License Agreement, dated September 17, 2019, by and between the Company and Pierre Fabre Medicament SAS (filed as Exhibit 10.18(b) to the Company’s Annual Report on Form 10-K filed with the SEC on February 28, 2020 and incorporated herein by reference)</w:t>
              </w:r>
            </w:hyperlink>
          </w:p>
        </w:tc>
      </w:tr>
      <w:tr>
        <w:trPr/>
        <w:tc>
          <w:tcPr>
            <w:tcW w:w="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10.15(c)**</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0"/>
              <w:ind w:left="0" w:right="0" w:hanging="0"/>
              <w:jc w:val="left"/>
              <w:rPr/>
            </w:pPr>
            <w:hyperlink r:id="rId59">
              <w:r>
                <w:rPr>
                  <w:rStyle w:val="InternetLink"/>
                  <w:rFonts w:ascii="Times New Roman" w:hAnsi="Times New Roman"/>
                  <w:caps w:val="false"/>
                  <w:smallCaps w:val="false"/>
                  <w:sz w:val="20"/>
                </w:rPr>
                <w:t>Second Amendment to the License Agreement, dated November 25, 2019, by and between the Company and Pierre Fabre Medicament SAS (filed as Exhibit 10.18(c) to the Company’s Annual Report on Form 10-K filed with the SEC on February 28, 2020 and incorporated herein by reference)</w:t>
              </w:r>
            </w:hyperlink>
          </w:p>
        </w:tc>
      </w:tr>
      <w:tr>
        <w:trPr/>
        <w:tc>
          <w:tcPr>
            <w:tcW w:w="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pPr>
            <w:r>
              <w:rPr/>
              <w:t>10.15(d)**</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r:id="rId60">
              <w:r>
                <w:rPr>
                  <w:rStyle w:val="InternetLink"/>
                </w:rPr>
                <w:t>Amendment No. 3 to the License Agreement, dated February 24, 2021, by and between the Company and Pierre Fabre Medicament SAS (filed as Exhibit 10.3 to the Company’s Quarterly Report on Form 10-Q filed with the SEC on May 6, 2021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7"/>
        <w:gridCol w:w="60"/>
        <w:gridCol w:w="9388"/>
      </w:tblGrid>
      <w:tr>
        <w:trPr/>
        <w:tc>
          <w:tcPr>
            <w:tcW w:w="757" w:type="dxa"/>
            <w:tcBorders/>
            <w:vAlign w:val="center"/>
          </w:tcPr>
          <w:p>
            <w:pPr>
              <w:pStyle w:val="TableContents"/>
              <w:bidi w:val="0"/>
              <w:spacing w:before="0" w:after="283"/>
              <w:jc w:val="left"/>
              <w:rPr/>
            </w:pPr>
            <w:r>
              <w:rPr/>
              <w:t>10.16(a)**</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left"/>
              <w:rPr/>
            </w:pPr>
            <w:hyperlink r:id="rId61">
              <w:r>
                <w:rPr>
                  <w:rStyle w:val="InternetLink"/>
                </w:rPr>
                <w:t>Note Purchase Agreement, dated July 23, 2021, by and between the Company and Athyrium Opportunities IV Co-Invest 1 LP, as Administrative Agent (filed as Exhibit 10.1 to the Company’s Quarterly Report on Form 10-Q filed with the SEC on November 4, 2021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2"/>
        <w:gridCol w:w="60"/>
        <w:gridCol w:w="9393"/>
      </w:tblGrid>
      <w:tr>
        <w:trPr/>
        <w:tc>
          <w:tcPr>
            <w:tcW w:w="752" w:type="dxa"/>
            <w:tcBorders/>
            <w:vAlign w:val="center"/>
          </w:tcPr>
          <w:p>
            <w:pPr>
              <w:pStyle w:val="TableContents"/>
              <w:bidi w:val="0"/>
              <w:spacing w:before="0" w:after="283"/>
              <w:jc w:val="left"/>
              <w:rPr/>
            </w:pPr>
            <w:r>
              <w:rPr/>
              <w:t>10.16(b)**</w:t>
            </w:r>
          </w:p>
        </w:tc>
        <w:tc>
          <w:tcPr>
            <w:tcW w:w="60" w:type="dxa"/>
            <w:tcBorders/>
            <w:vAlign w:val="center"/>
          </w:tcPr>
          <w:p>
            <w:pPr>
              <w:pStyle w:val="TableContents"/>
              <w:bidi w:val="0"/>
              <w:spacing w:before="0" w:after="283"/>
              <w:jc w:val="left"/>
              <w:rPr/>
            </w:pPr>
            <w:r>
              <w:rPr/>
              <w:t> </w:t>
            </w:r>
          </w:p>
        </w:tc>
        <w:tc>
          <w:tcPr>
            <w:tcW w:w="9393" w:type="dxa"/>
            <w:tcBorders/>
            <w:vAlign w:val="center"/>
          </w:tcPr>
          <w:p>
            <w:pPr>
              <w:pStyle w:val="TableContents"/>
              <w:bidi w:val="0"/>
              <w:spacing w:before="0" w:after="283"/>
              <w:jc w:val="left"/>
              <w:rPr/>
            </w:pPr>
            <w:hyperlink r:id="rId62">
              <w:r>
                <w:rPr>
                  <w:rStyle w:val="InternetLink"/>
                  <w:u w:val="single"/>
                </w:rPr>
                <w:t>First Amendment to Note Purchase Agreement, dated February 8, 2022, by and between the Company and Athyrium Opportunities IV CO-Invest 1 LP, as Administrative Agent (filed as Exhibit 10.18(b) to the Company’s Annual Report on Form 10-K filed with the SEC on March 3, 2022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3"/>
        <w:gridCol w:w="60"/>
        <w:gridCol w:w="9462"/>
      </w:tblGrid>
      <w:tr>
        <w:trPr/>
        <w:tc>
          <w:tcPr>
            <w:tcW w:w="683" w:type="dxa"/>
            <w:tcBorders/>
            <w:vAlign w:val="center"/>
          </w:tcPr>
          <w:p>
            <w:pPr>
              <w:pStyle w:val="TableContents"/>
              <w:bidi w:val="0"/>
              <w:spacing w:before="0" w:after="283"/>
              <w:jc w:val="left"/>
              <w:rPr/>
            </w:pPr>
            <w:r>
              <w:rPr/>
              <w:t>10.16(c)</w:t>
            </w:r>
          </w:p>
        </w:tc>
        <w:tc>
          <w:tcPr>
            <w:tcW w:w="6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63">
              <w:r>
                <w:rPr>
                  <w:rStyle w:val="InternetLink"/>
                </w:rPr>
                <w:t>Second Amendment to Note Purchase Agreement, dated May 18, 2022, by and between the Company and Athyrium Opportunities IV CO-Invest 1 LP, as Administrative Agent (filed as Exhibit 10.17(c) to the Company’s Annual Report on Form 10-K filed with the SEC on March 2, 2023 and incorporated herein by reference)</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6"/>
        <w:gridCol w:w="60"/>
        <w:gridCol w:w="9459"/>
      </w:tblGrid>
      <w:tr>
        <w:trPr/>
        <w:tc>
          <w:tcPr>
            <w:tcW w:w="686" w:type="dxa"/>
            <w:tcBorders/>
            <w:vAlign w:val="center"/>
          </w:tcPr>
          <w:p>
            <w:pPr>
              <w:pStyle w:val="TableContents"/>
              <w:bidi w:val="0"/>
              <w:spacing w:before="0" w:after="283"/>
              <w:jc w:val="left"/>
              <w:rPr/>
            </w:pPr>
            <w:r>
              <w:rPr/>
              <w:t>10.16(d)</w:t>
            </w:r>
          </w:p>
        </w:tc>
        <w:tc>
          <w:tcPr>
            <w:tcW w:w="60" w:type="dxa"/>
            <w:tcBorders/>
            <w:vAlign w:val="center"/>
          </w:tcPr>
          <w:p>
            <w:pPr>
              <w:pStyle w:val="TableContents"/>
              <w:bidi w:val="0"/>
              <w:spacing w:before="0" w:after="283"/>
              <w:jc w:val="left"/>
              <w:rPr/>
            </w:pPr>
            <w:r>
              <w:rPr/>
              <w:t> </w:t>
            </w:r>
          </w:p>
        </w:tc>
        <w:tc>
          <w:tcPr>
            <w:tcW w:w="9459" w:type="dxa"/>
            <w:tcBorders/>
            <w:vAlign w:val="center"/>
          </w:tcPr>
          <w:p>
            <w:pPr>
              <w:pStyle w:val="TableContents"/>
              <w:bidi w:val="0"/>
              <w:spacing w:before="0" w:after="283"/>
              <w:jc w:val="left"/>
              <w:rPr/>
            </w:pPr>
            <w:hyperlink r:id="rId64">
              <w:r>
                <w:rPr>
                  <w:rStyle w:val="InternetLink"/>
                </w:rPr>
                <w:t>Third Amendment to Note Purchase Agreement, dated September 16, 2022, by and between the Company and Athyrium Opportunities IV CO-Invest 1 LP, as Administrative Agent (filed as Exhibit 10.1 to the Company’s Quarterly Report on Form 10-Q filed with the SEC on November 3, 2022 and incorporated herein by reference)</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1"/>
        <w:gridCol w:w="60"/>
        <w:gridCol w:w="9414"/>
      </w:tblGrid>
      <w:tr>
        <w:trPr/>
        <w:tc>
          <w:tcPr>
            <w:tcW w:w="731" w:type="dxa"/>
            <w:tcBorders/>
            <w:vAlign w:val="center"/>
          </w:tcPr>
          <w:p>
            <w:pPr>
              <w:pStyle w:val="TableContents"/>
              <w:bidi w:val="0"/>
              <w:spacing w:before="0" w:after="283"/>
              <w:jc w:val="left"/>
              <w:rPr/>
            </w:pPr>
            <w:r>
              <w:rPr/>
              <w:t>10.16(e)**</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65">
              <w:r>
                <w:rPr>
                  <w:rStyle w:val="InternetLink"/>
                </w:rPr>
                <w:t>Fourth Amendment to Note Purchase Agreement, dated November 29, 2022, by and between the Company and Athyrium Opportunities IV CO-Invest 1 LP, as Administrative Agent (filed as Exhibit 10.17(e) to the Company’s Annual Report on Form 10-K filed with the SEC on March 2, 2023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10.16(f)</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66">
              <w:r>
                <w:rPr>
                  <w:rStyle w:val="InternetLink"/>
                </w:rPr>
                <w:t>Limited Waiver and Fifth Amendment to Note Purchase Agreement, dated July 7, 2023, by and between the Company and Athyrium Opportunities IV CO-Invest 1 LP, as Administrative Agent (filed as Exhibit 10.1 to the Company’s Quarterly Report on Form 10-Q filed with the SEC on August 3, 2023,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10.16(g)</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67">
              <w:r>
                <w:rPr>
                  <w:rStyle w:val="InternetLink"/>
                </w:rPr>
                <w:t>Sixth Amendment to Note Purchase Agreement, dated September 8, 2023, by and between the Company and Athyrium Opportunities IV CO-Invest 1 LP, as Administrative Agent (filed as Exhibit 10.2 to the Company’s Quarterly Report on Form 10-Q filed with the SEC on November 2, 2023,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10.16(h)</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68">
              <w:r>
                <w:rPr>
                  <w:rStyle w:val="InternetLink"/>
                </w:rPr>
                <w:t>Seventh Amendment to Note Purchase Agreement and Third Amendment to Disclosure Letter, dated April 12, 2024, by and between the Company and Athyrium Opportunities IV CO-Invest 1 LP, as Administrative Agent (filed as Exhibit 10.1 to the Company’s Quarterly Report on Form 10-Q filed with the SEC on May 2, 2024,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10.16(i)</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69">
              <w:r>
                <w:rPr>
                  <w:rStyle w:val="InternetLink"/>
                  <w:u w:val="single"/>
                </w:rPr>
                <w:t>Eighth Amendment to Note Purchase Agreement and Fourth Amendment to Disclosure Letter, dated October 6, 2025, by and between the Company and Athyrium Opportunities IV Co-Invest 1 LP, as Administrative Agent (filed as Exhibit 10.1 to the Company’s Quarterly Report on Form 10-Q filed with the SEC on November 6, 2025,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10.17</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lineRule="auto" w:line="288" w:before="0" w:after="283"/>
              <w:jc w:val="left"/>
              <w:rPr/>
            </w:pPr>
            <w:hyperlink r:id="rId70">
              <w:r>
                <w:rPr>
                  <w:rStyle w:val="InternetLink"/>
                </w:rPr>
                <w:t>Open Market Sale AgreementSM, dated November 4, 2021, by and between the Company and Jeffries LLC (filed as Exhibit 1.1 to the Company’s Current Report on Form 8-K filed with the SEC on November 4, 2021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10.18**</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71">
              <w:r>
                <w:rPr>
                  <w:rStyle w:val="InternetLink"/>
                </w:rPr>
                <w:t>Exclusive License Agreement, dated September 16, 2022, by and between the Company and Millennium Pharmaceuticals, Inc., a wholly owned subsidiary of Takeda Pharmaceutical Company Limited (filed as Exhibit 10.2 to the Company’s Quarterly Report on Form 10-Q filed with the SEC on November 3, 2022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shd w:fill="FFFFFF" w:val="clear"/>
              </w:rPr>
            </w:pPr>
            <w:r>
              <w:rPr>
                <w:shd w:fill="FFFFFF" w:val="clear"/>
              </w:rPr>
              <w:t>19.1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w:anchor="ex_896262.htm">
              <w:r>
                <w:rPr>
                  <w:rStyle w:val="InternetLink"/>
                  <w:shd w:fill="FFFFFF" w:val="clear"/>
                </w:rPr>
                <w:t>Insider Trading and Compliance Policy</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3.htm">
              <w:r>
                <w:rPr>
                  <w:rStyle w:val="InternetLink"/>
                  <w:rFonts w:ascii="Times New Roman" w:hAnsi="Times New Roman"/>
                  <w:caps w:val="false"/>
                  <w:smallCaps w:val="false"/>
                  <w:sz w:val="20"/>
                  <w:shd w:fill="FFFFFF" w:val="clear"/>
                </w:rPr>
                <w:t>Subsidiary</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4.htm">
              <w:r>
                <w:rPr>
                  <w:rStyle w:val="InternetLink"/>
                  <w:rFonts w:ascii="Times New Roman" w:hAnsi="Times New Roman"/>
                  <w:caps w:val="false"/>
                  <w:smallCaps w:val="false"/>
                  <w:sz w:val="20"/>
                </w:rPr>
                <w:t>Consent of KPMG LLP</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signature page)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5.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6.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7.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pPr>
            <w:hyperlink w:anchor="ex_896268.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97.1</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hyperlink r:id="rId72">
              <w:r>
                <w:rPr>
                  <w:rStyle w:val="InternetLink"/>
                </w:rPr>
                <w:t>Puma Biotechnology, Inc. Policy for Recovery of Erroneously Awarded Compensation (filed as Exhibit 97.1 to the Company’s Annual Report on Form 10-K filed with the SEC on February 29, 2024 and incorporated herein by reference)</w:t>
              </w:r>
            </w:hyperlink>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Linkbase Document</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this exhibit (indicated by asterisks) have been omitted pursuant to a request for confidential treatment pursuant to Rule 24b-2 under the Securities Exchange Act of 1934.</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this exhibit (indicated by asterisks) have been omitted pursuant to Regulation S-K, Item 601(b)(10) or certain schedules and attachments to this exhibit have been omitted pursuant to Regulation S-K, Item 601(a)(5). Such omitted information is not material and would likely cause competitive harm to the registrant if publicly disclosed.</w:t>
            </w:r>
          </w:p>
        </w:tc>
      </w:tr>
      <w:tr>
        <w:trPr/>
        <w:tc>
          <w:tcPr>
            <w:tcW w:w="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4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1" w:name="sigs"/>
      <w:bookmarkEnd w:id="31"/>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on February 26, 2026.</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320"/>
        <w:gridCol w:w="2945"/>
      </w:tblGrid>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PUMA BIOTECHNOLOGY, INC.</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By:</w:t>
            </w:r>
          </w:p>
        </w:tc>
        <w:tc>
          <w:tcPr>
            <w:tcW w:w="29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2" w:name="poa"/>
      <w:bookmarkEnd w:id="32"/>
      <w:r>
        <w:rPr>
          <w:rFonts w:ascii="Times New Roman" w:hAnsi="Times New Roman"/>
          <w:b/>
          <w:caps w:val="false"/>
          <w:smallCaps w:val="false"/>
          <w:sz w:val="20"/>
        </w:rPr>
        <w:t>Power of Attorney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KNOWN BY ALL PERSONS BY THESE PRESENTS, that each person whose signature appears below constitutes and appoints Alan H. Auerbach and Maximo Nougues, or either of them, as his or her true and lawful attorneys-in-fact and agents, with full power of substitution and resubstitution, for him or her and in his or her name, place and stead, in any and all capacities, to sign any and all amendments to this Annual Report on Form 10-K and any documents related to this report and filed pursuant to the Securities Exchange Act of 1934,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5885"/>
        <w:gridCol w:w="60"/>
        <w:gridCol w:w="60"/>
        <w:gridCol w:w="1775"/>
      </w:tblGrid>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Alan H. Auerbach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Alan H. Auerbach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Maximo Nougues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Maximo Nougues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tcMar>
              <w:bottom w:w="0" w:type="dxa"/>
            </w:tcMar>
            <w:vAlign w:val="center"/>
          </w:tcPr>
          <w:p>
            <w:pPr>
              <w:pStyle w:val="TableContents"/>
              <w:bidi w:val="0"/>
              <w:spacing w:before="0" w:after="283"/>
              <w:jc w:val="center"/>
              <w:rPr/>
            </w:pPr>
            <w:r>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bottom w:val="single" w:sz="2" w:space="0" w:color="000000"/>
            </w:tcBorders>
            <w:vAlign w:val="center"/>
          </w:tcPr>
          <w:p>
            <w:pPr>
              <w:pStyle w:val="TableContents"/>
              <w:bidi w:val="0"/>
              <w:spacing w:before="0" w:after="283"/>
              <w:jc w:val="center"/>
              <w:rPr/>
            </w:pPr>
            <w:r>
              <w:rPr/>
              <w:t>/s/  Alessandra Cesano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Alessandra Cesano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Allison Dorval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Allison Dorval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Michael P. Miller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Michael P. Miller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Jay M. Moyes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Jay M. Moyes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Adrian M. Senderowicz</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Adrian M. Senderowicz</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Brian M. Stuglik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Brian M. Stuglik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Troy E. Wilson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26, 2026</w:t>
            </w:r>
          </w:p>
        </w:tc>
      </w:tr>
      <w:tr>
        <w:trPr/>
        <w:tc>
          <w:tcPr>
            <w:tcW w:w="5885" w:type="dxa"/>
            <w:tcBorders/>
            <w:tcMar>
              <w:bottom w:w="0" w:type="dxa"/>
            </w:tcMar>
            <w:vAlign w:val="center"/>
          </w:tcPr>
          <w:p>
            <w:pPr>
              <w:pStyle w:val="TableContents"/>
              <w:bidi w:val="0"/>
              <w:spacing w:before="0" w:after="283"/>
              <w:jc w:val="center"/>
              <w:rPr/>
            </w:pPr>
            <w:r>
              <w:rPr/>
              <w:t>Troy E. Wilson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3" w:name="index"/>
      <w:bookmarkEnd w:id="33"/>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INDEX TO CONSOLIDATED FINANCIAL STATEMENTS </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9080"/>
        <w:gridCol w:w="60"/>
        <w:gridCol w:w="440"/>
      </w:tblGrid>
      <w:tr>
        <w:trPr/>
        <w:tc>
          <w:tcPr>
            <w:tcW w:w="9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080" w:type="dxa"/>
            <w:tcBorders/>
            <w:vAlign w:val="center"/>
          </w:tcPr>
          <w:p>
            <w:pPr>
              <w:pStyle w:val="TableContents"/>
              <w:bidi w:val="0"/>
              <w:spacing w:before="0" w:after="0"/>
              <w:ind w:left="0" w:right="0" w:hanging="0"/>
              <w:jc w:val="left"/>
              <w:rPr/>
            </w:pPr>
            <w:hyperlink w:anchor="ind_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(KPMG LLP, Los Angeles, CA Auditor Firm ID: 185)</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nd_report">
              <w:r>
                <w:rPr>
                  <w:rStyle w:val="InternetLink"/>
                  <w:rFonts w:ascii="Times New Roman" w:hAnsi="Times New Roman"/>
                  <w:caps w:val="false"/>
                  <w:smallCaps w:val="false"/>
                  <w:sz w:val="20"/>
                </w:rPr>
                <w:t>F-2</w:t>
              </w:r>
            </w:hyperlink>
          </w:p>
        </w:tc>
      </w:tr>
      <w:tr>
        <w:trPr/>
        <w:tc>
          <w:tcPr>
            <w:tcW w:w="9080" w:type="dxa"/>
            <w:tcBorders/>
            <w:vAlign w:val="center"/>
          </w:tcPr>
          <w:p>
            <w:pPr>
              <w:pStyle w:val="TableContents"/>
              <w:bidi w:val="0"/>
              <w:spacing w:before="0" w:after="0"/>
              <w:ind w:left="240" w:right="0" w:hanging="240"/>
              <w:jc w:val="left"/>
              <w:rPr/>
            </w:pPr>
            <w:hyperlink w:anchor="bal_sheets">
              <w:r>
                <w:rPr>
                  <w:rStyle w:val="InternetLink"/>
                  <w:rFonts w:ascii="Times New Roman" w:hAnsi="Times New Roman"/>
                  <w:caps w:val="false"/>
                  <w:smallCaps w:val="false"/>
                  <w:sz w:val="20"/>
                </w:rPr>
                <w:t xml:space="preserve">Consolidated Balance Sheets at </w:t>
              </w:r>
            </w:hyperlink>
            <w:hyperlink w:anchor="bal_sheets">
              <w:r>
                <w:rPr>
                  <w:rStyle w:val="InternetLink"/>
                  <w:rFonts w:ascii="Times New Roman" w:hAnsi="Times New Roman"/>
                  <w:caps w:val="false"/>
                  <w:smallCaps w:val="false"/>
                  <w:sz w:val="20"/>
                </w:rPr>
                <w:t>December 31, 2025 and 2024</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bal_sheets">
              <w:r>
                <w:rPr>
                  <w:rStyle w:val="InternetLink"/>
                  <w:rFonts w:ascii="Times New Roman" w:hAnsi="Times New Roman"/>
                  <w:caps w:val="false"/>
                  <w:smallCaps w:val="false"/>
                  <w:sz w:val="20"/>
                </w:rPr>
                <w:t>F-4</w:t>
              </w:r>
            </w:hyperlink>
          </w:p>
        </w:tc>
      </w:tr>
      <w:tr>
        <w:trPr/>
        <w:tc>
          <w:tcPr>
            <w:tcW w:w="9080" w:type="dxa"/>
            <w:tcBorders/>
            <w:vAlign w:val="center"/>
          </w:tcPr>
          <w:p>
            <w:pPr>
              <w:pStyle w:val="TableContents"/>
              <w:bidi w:val="0"/>
              <w:spacing w:before="0" w:after="0"/>
              <w:ind w:left="240" w:right="0" w:hanging="240"/>
              <w:jc w:val="left"/>
              <w:rPr/>
            </w:pPr>
            <w:hyperlink w:anchor="ops">
              <w:r>
                <w:rPr>
                  <w:rStyle w:val="InternetLink"/>
                  <w:rFonts w:ascii="Times New Roman" w:hAnsi="Times New Roman"/>
                  <w:caps w:val="false"/>
                  <w:smallCaps w:val="false"/>
                  <w:sz w:val="20"/>
                </w:rPr>
                <w:t xml:space="preserve">Consolidated Statements of Operations for the Years Ended </w:t>
              </w:r>
            </w:hyperlink>
            <w:hyperlink w:anchor="ops">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F-5</w:t>
              </w:r>
            </w:hyperlink>
          </w:p>
        </w:tc>
      </w:tr>
      <w:tr>
        <w:trPr/>
        <w:tc>
          <w:tcPr>
            <w:tcW w:w="9080" w:type="dxa"/>
            <w:tcBorders/>
            <w:vAlign w:val="center"/>
          </w:tcPr>
          <w:p>
            <w:pPr>
              <w:pStyle w:val="TableContents"/>
              <w:bidi w:val="0"/>
              <w:spacing w:before="0" w:after="0"/>
              <w:ind w:left="240" w:right="0" w:hanging="240"/>
              <w:jc w:val="left"/>
              <w:rPr/>
            </w:pPr>
            <w:hyperlink w:anchor="loss">
              <w:r>
                <w:rPr>
                  <w:rStyle w:val="InternetLink"/>
                  <w:rFonts w:ascii="Times New Roman" w:hAnsi="Times New Roman"/>
                  <w:caps w:val="false"/>
                  <w:smallCaps w:val="false"/>
                  <w:sz w:val="20"/>
                </w:rPr>
                <w:t xml:space="preserve">Consolidated Statements of Comprehensive Income for the Years Ended </w:t>
              </w:r>
            </w:hyperlink>
            <w:hyperlink w:anchor="loss">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loss">
              <w:r>
                <w:rPr>
                  <w:rStyle w:val="InternetLink"/>
                  <w:rFonts w:ascii="Times New Roman" w:hAnsi="Times New Roman"/>
                  <w:caps w:val="false"/>
                  <w:smallCaps w:val="false"/>
                  <w:sz w:val="20"/>
                </w:rPr>
                <w:t>F-6</w:t>
              </w:r>
            </w:hyperlink>
          </w:p>
        </w:tc>
      </w:tr>
      <w:tr>
        <w:trPr/>
        <w:tc>
          <w:tcPr>
            <w:tcW w:w="9080" w:type="dxa"/>
            <w:tcBorders/>
            <w:vAlign w:val="center"/>
          </w:tcPr>
          <w:p>
            <w:pPr>
              <w:pStyle w:val="TableContents"/>
              <w:bidi w:val="0"/>
              <w:spacing w:before="0" w:after="0"/>
              <w:ind w:left="240" w:right="0" w:hanging="240"/>
              <w:jc w:val="left"/>
              <w:rPr/>
            </w:pPr>
            <w:hyperlink w:anchor="equity">
              <w:r>
                <w:rPr>
                  <w:rStyle w:val="InternetLink"/>
                  <w:rFonts w:ascii="Times New Roman" w:hAnsi="Times New Roman"/>
                  <w:caps w:val="false"/>
                  <w:smallCaps w:val="false"/>
                  <w:sz w:val="20"/>
                </w:rPr>
                <w:t xml:space="preserve">Consolidated Statements of Stockholders’ Equity for the Years Ended </w:t>
              </w:r>
            </w:hyperlink>
            <w:hyperlink w:anchor="equity">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F-7</w:t>
              </w:r>
            </w:hyperlink>
          </w:p>
        </w:tc>
      </w:tr>
      <w:tr>
        <w:trPr/>
        <w:tc>
          <w:tcPr>
            <w:tcW w:w="9080" w:type="dxa"/>
            <w:tcBorders/>
            <w:vAlign w:val="center"/>
          </w:tcPr>
          <w:p>
            <w:pPr>
              <w:pStyle w:val="TableContents"/>
              <w:bidi w:val="0"/>
              <w:spacing w:before="0" w:after="0"/>
              <w:ind w:left="240" w:right="0" w:hanging="240"/>
              <w:jc w:val="left"/>
              <w:rPr/>
            </w:pPr>
            <w:hyperlink w:anchor="cf">
              <w:r>
                <w:rPr>
                  <w:rStyle w:val="InternetLink"/>
                  <w:rFonts w:ascii="Times New Roman" w:hAnsi="Times New Roman"/>
                  <w:caps w:val="false"/>
                  <w:smallCaps w:val="false"/>
                  <w:sz w:val="20"/>
                </w:rPr>
                <w:t xml:space="preserve">Consolidated Statements of Cash Flows for the Years Ended </w:t>
              </w:r>
            </w:hyperlink>
            <w:hyperlink w:anchor="cf">
              <w:r>
                <w:rPr>
                  <w:rStyle w:val="InternetLink"/>
                  <w:rFonts w:ascii="Times New Roman" w:hAnsi="Times New Roman"/>
                  <w:caps w:val="false"/>
                  <w:smallCaps w:val="false"/>
                  <w:sz w:val="20"/>
                </w:rPr>
                <w:t>December 31, 2025, 2024 and 2023</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F-8</w:t>
              </w:r>
            </w:hyperlink>
          </w:p>
        </w:tc>
      </w:tr>
      <w:tr>
        <w:trPr/>
        <w:tc>
          <w:tcPr>
            <w:tcW w:w="9080" w:type="dxa"/>
            <w:tcBorders/>
            <w:vAlign w:val="center"/>
          </w:tcPr>
          <w:p>
            <w:pPr>
              <w:pStyle w:val="TableContents"/>
              <w:bidi w:val="0"/>
              <w:spacing w:before="0" w:after="0"/>
              <w:ind w:left="240" w:right="0" w:hanging="24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4" w:name="ind_report"/>
      <w:bookmarkEnd w:id="34"/>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br/>
        <w:t>Puma Biotechnology,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Opinions on the Consolidated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audited the accompanying consolidated balance sheets of Puma Biotechnology, Inc. and subsidiary (the Company) as of December 31, 2025 and 2024, the related consolidated statements of operations, comprehensive income,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Basis for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Estimate of certain variable consideration related to 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As discussed in Note 2 to the consolidated financial statements, the Company recognizes product revenue, net that includes estimates of variable consideration. For the year ended December 31, 2025, the Company recorded product revenue, net of $204.1 million. The components of variable consideration include trade discounts and allowances, product returns, provider chargebacks and discounts, government rebates, payor rebates, and other incentives. These estimates take into consideration a range of possible outcomes that are probability-weighted in accordance with the expected value method in Accounting Standards Codification (ASC) 606, Revenue from Contracts with Customers. The range of possible outcomes is driven by relevant factors such as current contractual and statutory requirements, specific known market events and trends, industry data, and forecasted customer buying and payment patterns.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 identified the estimate of variable consideration for provider chargebacks and government rebates, including consideration of the constraint on variable consideration, related to product revenue, net as a critical audit matter. Evaluating the key assumptions of forecasted patient buying and payment patterns underlying the estimate for provider chargebacks and government rebates involved especially challenging auditor judgment due to their measurement uncertainty. These key assumptions relate to estimating which of the Company’s revenue transactions will ultimately be subject to a related provider chargeback or government rebate.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are the primary procedures we performed to address this critical audit matter. We evaluated the design and tested the operating effectiveness of certain internal controls related to the development of the key assumptions used to determine variable consideration for provider chargebacks and government rebates, including consideration of the constraint on variable consideration. We evaluated the forecasted patient buying and payment patterns used to determine the provider chargebacks and government rebates by comparing them to the Company’s historical data, statutory information, and executed third-party contracts. We assessed the Company’s assumed patient buying and payment patterns by (1) independently recalculating historical actual patient buying and payment pattern rates based on historical actual claim data, and (2) comparing current period forecasts to historical actual rates. We evaluated the Company’s ability to accurately estimate provider chargebacks and government rebates, including consideration of the constraint on variable consideration, by comparing historically recorded accruals to the actual amount that was ultimately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2382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3"/>
                    <a:stretch>
                      <a:fillRect/>
                    </a:stretch>
                  </pic:blipFill>
                  <pic:spPr bwMode="auto">
                    <a:xfrm>
                      <a:off x="0" y="0"/>
                      <a:ext cx="1238250" cy="2762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 Angeles, California</w:t>
        <w:br/>
        <w:t>February 26,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5" w:name="bal_sheets"/>
      <w:bookmarkEnd w:id="35"/>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BALANCE SHEETS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4"/>
        <w:gridCol w:w="60"/>
        <w:gridCol w:w="152"/>
        <w:gridCol w:w="1103"/>
        <w:gridCol w:w="80"/>
        <w:gridCol w:w="60"/>
        <w:gridCol w:w="152"/>
        <w:gridCol w:w="1103"/>
        <w:gridCol w:w="81"/>
      </w:tblGrid>
      <w:tr>
        <w:trPr/>
        <w:tc>
          <w:tcPr>
            <w:tcW w:w="7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69,219</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31,746</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 of $0 and $362</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32,011</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8,724</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current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current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current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147,658</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4,579</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51,131</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long-term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long-term</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213,333</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current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36,898</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current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5,540</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45,329</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current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96,111</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long-term</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 long-term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21,719</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long-term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121,208</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$.0001 par value per share; 100,000,000 shares authorized; 50,408,023 shares issued and outstanding at December 31, 2025 and 49,105,834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1,407,000</w:t>
            </w:r>
          </w:p>
        </w:tc>
        <w:tc>
          <w:tcPr>
            <w:tcW w:w="81"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(1,314,886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92,125</w:t>
            </w:r>
          </w:p>
        </w:tc>
        <w:tc>
          <w:tcPr>
            <w:tcW w:w="81"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213,333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6" w:name="ops"/>
      <w:bookmarkEnd w:id="36"/>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5285"/>
        <w:gridCol w:w="60"/>
        <w:gridCol w:w="125"/>
        <w:gridCol w:w="950"/>
        <w:gridCol w:w="80"/>
        <w:gridCol w:w="60"/>
        <w:gridCol w:w="125"/>
        <w:gridCol w:w="950"/>
        <w:gridCol w:w="80"/>
        <w:gridCol w:w="60"/>
        <w:gridCol w:w="125"/>
        <w:gridCol w:w="950"/>
        <w:gridCol w:w="80"/>
      </w:tblGrid>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203,107</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32,530</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235,637</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62,682</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89,933</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50,382</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202,997</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32,640</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Current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21,591</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50,011,485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48,648,701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47,134,331</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50,653,283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49,100,433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47,550,852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7" w:name="loss"/>
      <w:bookmarkEnd w:id="37"/>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592" w:type="dxa"/>
        <w:jc w:val="left"/>
        <w:tblInd w:w="0" w:type="dxa"/>
        <w:tblLayout w:type="fixed"/>
        <w:tblCellMar>
          <w:top w:w="0" w:type="dxa"/>
          <w:left w:w="0" w:type="dxa"/>
          <w:bottom w:w="0" w:type="dxa"/>
          <w:right w:w="0" w:type="dxa"/>
        </w:tblCellMar>
      </w:tblPr>
      <w:tblGrid>
        <w:gridCol w:w="5630"/>
        <w:gridCol w:w="60"/>
        <w:gridCol w:w="148"/>
        <w:gridCol w:w="698"/>
        <w:gridCol w:w="71"/>
        <w:gridCol w:w="71"/>
        <w:gridCol w:w="148"/>
        <w:gridCol w:w="698"/>
        <w:gridCol w:w="71"/>
        <w:gridCol w:w="71"/>
        <w:gridCol w:w="148"/>
        <w:gridCol w:w="698"/>
        <w:gridCol w:w="80"/>
      </w:tblGrid>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21,591</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available-for-sale securities, net of tax of $0</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38" w:name="equity"/>
            <w:bookmarkEnd w:id="38"/>
            <w:r>
              <w:rPr>
                <w:rFonts w:ascii="Times New Roman" w:hAnsi="Times New Roman"/>
                <w:b/>
                <w:caps w:val="false"/>
                <w:smallCaps w:val="false"/>
                <w:sz w:val="20"/>
              </w:rPr>
              <w:t>PUMA BIOTECHNOLOGY, INC. AND SUBSIDIARY</w:t>
            </w:r>
          </w:p>
        </w:tc>
      </w:tr>
      <w:tr>
        <w:trPr/>
        <w:tc>
          <w:tcPr>
            <w:tcW w:w="58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STOCKHOLDERS’ EQUITY</w:t>
            </w:r>
          </w:p>
        </w:tc>
      </w:tr>
      <w:tr>
        <w:trPr/>
        <w:tc>
          <w:tcPr>
            <w:tcW w:w="58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5"/>
        <w:gridCol w:w="60"/>
        <w:gridCol w:w="60"/>
        <w:gridCol w:w="950"/>
        <w:gridCol w:w="60"/>
        <w:gridCol w:w="60"/>
        <w:gridCol w:w="220"/>
        <w:gridCol w:w="460"/>
        <w:gridCol w:w="60"/>
        <w:gridCol w:w="60"/>
        <w:gridCol w:w="125"/>
        <w:gridCol w:w="845"/>
        <w:gridCol w:w="60"/>
        <w:gridCol w:w="60"/>
        <w:gridCol w:w="133"/>
        <w:gridCol w:w="1162"/>
        <w:gridCol w:w="80"/>
        <w:gridCol w:w="60"/>
        <w:gridCol w:w="135"/>
        <w:gridCol w:w="980"/>
        <w:gridCol w:w="80"/>
        <w:gridCol w:w="60"/>
        <w:gridCol w:w="125"/>
        <w:gridCol w:w="695"/>
        <w:gridCol w:w="80"/>
      </w:tblGrid>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46,345,660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(1,366,755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21,608</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10,247</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loss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21,591</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47,646,787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(1,345,164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53,442</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8,245</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gain on available-for-sale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30,278</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49,105,834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(1,314,886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92,125</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6,944</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31,111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50,408,023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1,414,074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(1,283,775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130,340</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5495" w:type="dxa"/>
        <w:jc w:val="left"/>
        <w:tblInd w:w="0" w:type="dxa"/>
        <w:tblLayout w:type="fixed"/>
        <w:tblCellMar>
          <w:top w:w="0" w:type="dxa"/>
          <w:left w:w="0" w:type="dxa"/>
          <w:bottom w:w="0" w:type="dxa"/>
          <w:right w:w="0" w:type="dxa"/>
        </w:tblCellMar>
      </w:tblPr>
      <w:tblGrid>
        <w:gridCol w:w="5495"/>
      </w:tblGrid>
      <w:tr>
        <w:trPr/>
        <w:tc>
          <w:tcPr>
            <w:tcW w:w="5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9" w:name="cf"/>
      <w:bookmarkEnd w:id="39"/>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941" w:type="dxa"/>
        <w:jc w:val="left"/>
        <w:tblInd w:w="0" w:type="dxa"/>
        <w:tblLayout w:type="fixed"/>
        <w:tblCellMar>
          <w:top w:w="0" w:type="dxa"/>
          <w:left w:w="0" w:type="dxa"/>
          <w:bottom w:w="0" w:type="dxa"/>
          <w:right w:w="0" w:type="dxa"/>
        </w:tblCellMar>
      </w:tblPr>
      <w:tblGrid>
        <w:gridCol w:w="6980"/>
        <w:gridCol w:w="60"/>
        <w:gridCol w:w="130"/>
        <w:gridCol w:w="787"/>
        <w:gridCol w:w="83"/>
        <w:gridCol w:w="62"/>
        <w:gridCol w:w="130"/>
        <w:gridCol w:w="677"/>
        <w:gridCol w:w="83"/>
        <w:gridCol w:w="62"/>
        <w:gridCol w:w="130"/>
        <w:gridCol w:w="677"/>
        <w:gridCol w:w="80"/>
      </w:tblGrid>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1"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787" w:type="dxa"/>
            <w:tcBorders/>
            <w:shd w:fill="FFFFFF" w:val="clear"/>
            <w:vAlign w:val="center"/>
          </w:tcPr>
          <w:p>
            <w:pPr>
              <w:pStyle w:val="TableContents"/>
              <w:bidi w:val="0"/>
              <w:spacing w:before="0" w:after="283"/>
              <w:ind w:left="0" w:right="0" w:hanging="0"/>
              <w:jc w:val="right"/>
              <w:rPr>
                <w:sz w:val="20"/>
              </w:rPr>
            </w:pPr>
            <w:r>
              <w:rPr>
                <w:sz w:val="20"/>
              </w:rPr>
              <w:t>31,111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677" w:type="dxa"/>
            <w:tcBorders/>
            <w:shd w:fill="FFFFFF" w:val="clear"/>
            <w:vAlign w:val="center"/>
          </w:tcPr>
          <w:p>
            <w:pPr>
              <w:pStyle w:val="TableContents"/>
              <w:bidi w:val="0"/>
              <w:spacing w:before="0" w:after="283"/>
              <w:ind w:left="0" w:right="0" w:hanging="0"/>
              <w:jc w:val="right"/>
              <w:rPr>
                <w:sz w:val="20"/>
              </w:rPr>
            </w:pPr>
            <w:r>
              <w:rPr>
                <w:sz w:val="20"/>
              </w:rPr>
              <w:t>30,278</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677" w:type="dxa"/>
            <w:tcBorders/>
            <w:shd w:fill="FFFFFF" w:val="clear"/>
            <w:vAlign w:val="center"/>
          </w:tcPr>
          <w:p>
            <w:pPr>
              <w:pStyle w:val="TableContents"/>
              <w:bidi w:val="0"/>
              <w:spacing w:before="0" w:after="283"/>
              <w:ind w:left="0" w:right="0" w:hanging="0"/>
              <w:jc w:val="right"/>
              <w:rPr>
                <w:sz w:val="20"/>
              </w:rPr>
            </w:pPr>
            <w:r>
              <w:rPr>
                <w:sz w:val="20"/>
              </w:rPr>
              <w:t>21,591</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10,938</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11,524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11,519</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6,944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8,245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10,247</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sz w:val="20"/>
              </w:rPr>
            </w:pPr>
            <w:r>
              <w:rPr>
                <w:sz w:val="20"/>
              </w:rPr>
              <w:t>3,245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sz w:val="20"/>
              </w:rPr>
            </w:pPr>
            <w:r>
              <w:rPr>
                <w:sz w:val="20"/>
              </w:rPr>
              <w:t>(7,075</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Provision for credit loss recovery</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(362</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(519</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881</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Loss on impairment of asset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625</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(21,281</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16,345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(8,368</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980"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Inventory, net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3,209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(1,644</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(2,554</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980"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(325</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1,000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820</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(165</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821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1,517</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(453</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(1,380</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449</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Operating lease assets and liabilities, net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(1,805</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(1,587</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(1,195</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980"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Accrued expenses and other</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13,154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(15,823</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(7,583</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980"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Post-marketing commitment liability</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(2,412</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(1,267</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(940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41,802</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38,918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27,009</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(71</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(56</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(140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 of available-for-sale securities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(108,141</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(76,230</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(23,813</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Maturity of available-for-sale securities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72,024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55,848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17,328</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FFFFFF" w:val="clear"/>
            <w:vAlign w:val="center"/>
          </w:tcPr>
          <w:p>
            <w:pPr>
              <w:pStyle w:val="TableContents"/>
              <w:bidi w:val="0"/>
              <w:spacing w:before="0" w:after="283"/>
              <w:ind w:left="0" w:right="0" w:hanging="0"/>
              <w:jc w:val="right"/>
              <w:rPr>
                <w:color w:val="000000"/>
              </w:rPr>
            </w:pPr>
            <w:r>
              <w:rPr>
                <w:color w:val="000000"/>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rPr>
            </w:pPr>
            <w:r>
              <w:rPr>
                <w:color w:val="000000"/>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(12,500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(36,188</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(20,438</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(19,125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Net proceeds from shares issued under employee stock plans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130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150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Payment of debt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sz w:val="20"/>
              </w:rPr>
            </w:pPr>
            <w:r>
              <w:rPr>
                <w:sz w:val="20"/>
              </w:rPr>
              <w:t>(44,440</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sz w:val="20"/>
              </w:rPr>
            </w:pPr>
            <w:r>
              <w:rPr>
                <w:sz w:val="20"/>
              </w:rPr>
              <w:t>(33,330</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Payment of exit costs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(888</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sz w:val="20"/>
              </w:rPr>
            </w:pPr>
            <w:r>
              <w:rPr>
                <w:color w:val="000000"/>
                <w:sz w:val="20"/>
              </w:rPr>
              <w:t>(666</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CCEEFF" w:val="cle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(45,198</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(33,846</w:t>
            </w:r>
          </w:p>
        </w:tc>
        <w:tc>
          <w:tcPr>
            <w:tcW w:w="83" w:type="dxa"/>
            <w:tcBorders/>
            <w:shd w:fill="FFFFFF" w:val="clear"/>
            <w:vAlign w:val="center"/>
          </w:tcPr>
          <w:p>
            <w:pPr>
              <w:pStyle w:val="TableContents"/>
              <w:bidi w:val="0"/>
              <w:spacing w:before="0" w:after="283"/>
              <w:jc w:val="lef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rPr>
            </w:pPr>
            <w:r>
              <w:rPr>
                <w:color w:val="000000"/>
              </w:rPr>
              <w:t>—</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sz w:val="20"/>
              </w:rPr>
            </w:pPr>
            <w:r>
              <w:rPr>
                <w:sz w:val="20"/>
              </w:rPr>
              <w:t>(39,584</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(15,366</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sz w:val="20"/>
              </w:rPr>
            </w:pPr>
            <w:r>
              <w:rPr>
                <w:sz w:val="20"/>
              </w:rPr>
              <w:t>7,884</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78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71,310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86,676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77" w:type="dxa"/>
            <w:tcBorders/>
            <w:shd w:fill="FFFFFF" w:val="clear"/>
            <w:vAlign w:val="center"/>
          </w:tcPr>
          <w:p>
            <w:pPr>
              <w:pStyle w:val="TableContents"/>
              <w:bidi w:val="0"/>
              <w:spacing w:before="0" w:after="283"/>
              <w:ind w:left="0" w:right="0" w:hanging="0"/>
              <w:jc w:val="right"/>
              <w:rPr>
                <w:color w:val="000000"/>
                <w:sz w:val="20"/>
              </w:rPr>
            </w:pPr>
            <w:r>
              <w:rPr>
                <w:color w:val="000000"/>
                <w:sz w:val="20"/>
              </w:rPr>
              <w:t>78,792</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31,726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71,310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86,676</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disclosures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Property and equipment purchases in accounts payable</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787" w:type="dxa"/>
            <w:tcBorders/>
            <w:shd w:fill="FFFFFF" w:val="clear"/>
            <w:vAlign w:val="center"/>
          </w:tcPr>
          <w:p>
            <w:pPr>
              <w:pStyle w:val="TableContents"/>
              <w:bidi w:val="0"/>
              <w:spacing w:before="0" w:after="283"/>
              <w:jc w:val="right"/>
              <w:rPr>
                <w:sz w:val="20"/>
              </w:rPr>
            </w:pPr>
            <w:r>
              <w:rPr>
                <w:sz w:val="20"/>
              </w:rPr>
              <w:t>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677"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677" w:type="dxa"/>
            <w:tcBorders/>
            <w:shd w:fill="FFFFFF" w:val="clear"/>
            <w:vAlign w:val="center"/>
          </w:tcPr>
          <w:p>
            <w:pPr>
              <w:pStyle w:val="TableContents"/>
              <w:bidi w:val="0"/>
              <w:spacing w:before="0" w:after="283"/>
              <w:jc w:val="right"/>
              <w:rPr>
                <w:sz w:val="20"/>
              </w:rPr>
            </w:pPr>
            <w:r>
              <w:rPr>
                <w:sz w:val="20"/>
              </w:rPr>
              <w:t>26</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Interest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787" w:type="dxa"/>
            <w:tcBorders/>
            <w:shd w:fill="FFFFFF" w:val="clear"/>
            <w:vAlign w:val="center"/>
          </w:tcPr>
          <w:p>
            <w:pPr>
              <w:pStyle w:val="TableContents"/>
              <w:bidi w:val="0"/>
              <w:spacing w:before="0" w:after="283"/>
              <w:ind w:left="0" w:right="0" w:hanging="0"/>
              <w:jc w:val="right"/>
              <w:rPr>
                <w:sz w:val="20"/>
              </w:rPr>
            </w:pPr>
            <w:r>
              <w:rPr>
                <w:sz w:val="20"/>
              </w:rPr>
              <w:t>5,818</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677" w:type="dxa"/>
            <w:tcBorders/>
            <w:shd w:fill="FFFFFF" w:val="clear"/>
            <w:vAlign w:val="center"/>
          </w:tcPr>
          <w:p>
            <w:pPr>
              <w:pStyle w:val="TableContents"/>
              <w:bidi w:val="0"/>
              <w:spacing w:before="0" w:after="283"/>
              <w:ind w:left="0" w:right="0" w:hanging="0"/>
              <w:jc w:val="right"/>
              <w:rPr>
                <w:sz w:val="20"/>
              </w:rPr>
            </w:pPr>
            <w:r>
              <w:rPr>
                <w:sz w:val="20"/>
              </w:rPr>
              <w:t>10,769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sz w:val="20"/>
              </w:rPr>
            </w:pPr>
            <w:r>
              <w:rPr>
                <w:sz w:val="20"/>
              </w:rPr>
              <w:t>$</w:t>
            </w:r>
          </w:p>
        </w:tc>
        <w:tc>
          <w:tcPr>
            <w:tcW w:w="677" w:type="dxa"/>
            <w:tcBorders/>
            <w:shd w:fill="FFFFFF" w:val="clear"/>
            <w:vAlign w:val="center"/>
          </w:tcPr>
          <w:p>
            <w:pPr>
              <w:pStyle w:val="TableContents"/>
              <w:bidi w:val="0"/>
              <w:spacing w:before="0" w:after="283"/>
              <w:ind w:left="0" w:right="0" w:hanging="0"/>
              <w:jc w:val="right"/>
              <w:rPr>
                <w:sz w:val="20"/>
              </w:rPr>
            </w:pPr>
            <w:r>
              <w:rPr>
                <w:sz w:val="20"/>
              </w:rPr>
              <w:t>11,628</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sz w:val="20"/>
              </w:rPr>
            </w:pPr>
            <w:r>
              <w:rPr>
                <w:sz w:val="20"/>
              </w:rPr>
              <w:t>$</w:t>
            </w:r>
          </w:p>
        </w:tc>
        <w:tc>
          <w:tcPr>
            <w:tcW w:w="787" w:type="dxa"/>
            <w:tcBorders/>
            <w:shd w:fill="CCEEFF" w:val="clear"/>
            <w:vAlign w:val="center"/>
          </w:tcPr>
          <w:p>
            <w:pPr>
              <w:pStyle w:val="TableContents"/>
              <w:bidi w:val="0"/>
              <w:spacing w:before="0" w:after="283"/>
              <w:ind w:left="0" w:right="0" w:hanging="0"/>
              <w:jc w:val="right"/>
              <w:rPr>
                <w:sz w:val="20"/>
              </w:rPr>
            </w:pPr>
            <w:r>
              <w:rPr>
                <w:sz w:val="20"/>
              </w:rPr>
              <w:t>1,524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sz w:val="20"/>
              </w:rPr>
            </w:pPr>
            <w:r>
              <w:rPr>
                <w:sz w:val="20"/>
              </w:rPr>
              <w:t>$</w:t>
            </w:r>
          </w:p>
        </w:tc>
        <w:tc>
          <w:tcPr>
            <w:tcW w:w="677" w:type="dxa"/>
            <w:tcBorders/>
            <w:shd w:fill="CCEEFF" w:val="clear"/>
            <w:vAlign w:val="center"/>
          </w:tcPr>
          <w:p>
            <w:pPr>
              <w:pStyle w:val="TableContents"/>
              <w:bidi w:val="0"/>
              <w:spacing w:before="0" w:after="283"/>
              <w:ind w:left="0" w:right="0" w:hanging="0"/>
              <w:jc w:val="right"/>
              <w:rPr>
                <w:sz w:val="20"/>
              </w:rPr>
            </w:pPr>
            <w:r>
              <w:rPr>
                <w:sz w:val="20"/>
              </w:rPr>
              <w:t>1,218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sz w:val="20"/>
              </w:rPr>
            </w:pPr>
            <w:r>
              <w:rPr>
                <w:sz w:val="20"/>
              </w:rPr>
              <w:t>$</w:t>
            </w:r>
          </w:p>
        </w:tc>
        <w:tc>
          <w:tcPr>
            <w:tcW w:w="677" w:type="dxa"/>
            <w:tcBorders/>
            <w:shd w:fill="CCEEFF" w:val="clear"/>
            <w:vAlign w:val="center"/>
          </w:tcPr>
          <w:p>
            <w:pPr>
              <w:pStyle w:val="TableContents"/>
              <w:bidi w:val="0"/>
              <w:spacing w:before="0" w:after="283"/>
              <w:ind w:left="0" w:right="0" w:hanging="0"/>
              <w:jc w:val="right"/>
              <w:rPr>
                <w:sz w:val="20"/>
              </w:rPr>
            </w:pPr>
            <w:r>
              <w:rPr>
                <w:sz w:val="20"/>
              </w:rPr>
              <w:t>737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95" w:type="dxa"/>
        <w:jc w:val="left"/>
        <w:tblInd w:w="0" w:type="dxa"/>
        <w:tblLayout w:type="fixed"/>
        <w:tblCellMar>
          <w:top w:w="0" w:type="dxa"/>
          <w:left w:w="0" w:type="dxa"/>
          <w:bottom w:w="0" w:type="dxa"/>
          <w:right w:w="0" w:type="dxa"/>
        </w:tblCellMar>
      </w:tblPr>
      <w:tblGrid>
        <w:gridCol w:w="5495"/>
      </w:tblGrid>
      <w:tr>
        <w:trPr/>
        <w:tc>
          <w:tcPr>
            <w:tcW w:w="5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0" w:name="notes"/>
      <w:bookmarkEnd w:id="40"/>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shd w:fill="FFFFFF" w:val="clear"/>
        </w:rPr>
        <w:t xml:space="preserve">Note </w:t>
      </w:r>
      <w:r>
        <w:rPr>
          <w:rStyle w:val="Emphasis"/>
          <w:rFonts w:ascii="Times New Roman" w:hAnsi="Times New Roman"/>
          <w:b/>
          <w:caps w:val="false"/>
          <w:smallCaps w:val="false"/>
          <w:sz w:val="20"/>
          <w:shd w:fill="FFFFFF" w:val="clear"/>
        </w:rPr>
        <w:t>1—Business</w:t>
      </w:r>
      <w:r>
        <w:rPr>
          <w:rFonts w:ascii="Times New Roman" w:hAnsi="Times New Roman"/>
          <w:b/>
          <w:caps w:val="false"/>
          <w:smallCaps w:val="false"/>
          <w:sz w:val="20"/>
          <w:shd w:fill="FFFFFF" w:val="clear"/>
        </w:rPr>
        <w:t xml:space="preserve">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Puma Biotechnology, Inc., (the “Company”) is a biopharmaceutical company based in Los Angeles, California that develops and commercializes innovative products to enhance cancer care and improve treatment outcomes for patients. The Company is currently commercializing NERLYNX®, an oral version of neratinib (“NERLYNX”), for the treatment of </w:t>
      </w:r>
      <w:r>
        <w:rPr>
          <w:rStyle w:val="Emphasis"/>
          <w:rFonts w:ascii="Times New Roman" w:hAnsi="Times New Roman"/>
          <w:i/>
          <w:caps w:val="false"/>
          <w:smallCaps w:val="false"/>
          <w:sz w:val="20"/>
        </w:rPr>
        <w:t>HER2</w:t>
      </w:r>
      <w:r>
        <w:rPr>
          <w:rFonts w:ascii="Times New Roman" w:hAnsi="Times New Roman"/>
          <w:caps w:val="false"/>
          <w:smallCaps w:val="false"/>
          <w:sz w:val="20"/>
        </w:rPr>
        <w:t>-positive breast cancer. Additionally, the Company in-licensed, and is responsible for global development and commercialization of, alisertib. Alisertib is a selective, small molecule inhibitor of Aurora Kinase A that is designed to disrupt mitosis leading to apoptosis of rapidly proliferating tumor cells dependent on Aurora Kinase. The Company believes alisertib has potential application in the treatment of a range of different cancer types, including hormone receptor-positive breast cancer, triple negative breast cancer and small cell lung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has one subsidiary, Puma Biotechnology, B.V., a Netherlands company. This subsidiary was established for the purpose of legal representation in the European Union (“EU”). The consolidated financial statements include the accounts of the Company and its wholly owned subsidiary. All intercompany accounts and transactions have been eliminated.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of the Company and its subsidiary have been prepared in accordance with generally accepted accounting principles in the United States (“US GAAP”).</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The Company has incurred significant operating losses since its inception. </w:t>
      </w:r>
      <w:r>
        <w:rPr>
          <w:rFonts w:ascii="Times New Roman" w:hAnsi="Times New Roman"/>
          <w:caps w:val="false"/>
          <w:smallCaps w:val="false"/>
          <w:sz w:val="20"/>
        </w:rPr>
        <w:t>While the</w:t>
      </w:r>
      <w:r>
        <w:rPr>
          <w:rFonts w:ascii="Times New Roman" w:hAnsi="Times New Roman"/>
          <w:caps w:val="false"/>
          <w:smallCaps w:val="false"/>
          <w:sz w:val="20"/>
          <w:shd w:fill="FFFFFF" w:val="clear"/>
        </w:rPr>
        <w:t xml:space="preserve"> Company has previously reported net income, the Company</w:t>
      </w:r>
      <w:r>
        <w:rPr>
          <w:rFonts w:ascii="Times New Roman" w:hAnsi="Times New Roman"/>
          <w:caps w:val="false"/>
          <w:smallCaps w:val="false"/>
          <w:sz w:val="20"/>
        </w:rPr>
        <w:t> cannot assure that it will continue to do so and will need to continue to generate significant revenue to sustain operations and successfully commercialize neratinib.</w:t>
      </w:r>
      <w:r>
        <w:rPr>
          <w:rFonts w:ascii="Times New Roman" w:hAnsi="Times New Roman"/>
          <w:caps w:val="false"/>
          <w:smallCaps w:val="false"/>
          <w:sz w:val="20"/>
          <w:shd w:fill="FFFFFF" w:val="clear"/>
        </w:rPr>
        <w:t xml:space="preserve"> In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the Company received U.S. Food and Drug Administration (“FDA”) approval for its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product, NERLYNX® (neratinib), formerly known as </w:t>
      </w:r>
      <w:r>
        <w:rPr>
          <w:rStyle w:val="Emphasis"/>
          <w:rFonts w:ascii="Times New Roman" w:hAnsi="Times New Roman"/>
          <w:caps w:val="false"/>
          <w:smallCaps w:val="false"/>
          <w:sz w:val="20"/>
          <w:shd w:fill="FFFFFF" w:val="clear"/>
        </w:rPr>
        <w:t>PB272</w:t>
      </w:r>
      <w:r>
        <w:rPr>
          <w:rFonts w:ascii="Times New Roman" w:hAnsi="Times New Roman"/>
          <w:caps w:val="false"/>
          <w:smallCaps w:val="false"/>
          <w:sz w:val="20"/>
          <w:shd w:fill="FFFFFF" w:val="clear"/>
        </w:rPr>
        <w:t xml:space="preserve"> (neratinib, oral), for the extended adjuvant treatment of adult patients with early stage </w:t>
      </w:r>
      <w:r>
        <w:rPr>
          <w:rStyle w:val="Emphasis"/>
          <w:rFonts w:ascii="Times New Roman" w:hAnsi="Times New Roman"/>
          <w:caps w:val="false"/>
          <w:smallCaps w:val="false"/>
          <w:sz w:val="20"/>
          <w:shd w:fill="FFFFFF" w:val="clear"/>
        </w:rPr>
        <w:t>HER2</w:t>
      </w:r>
      <w:r>
        <w:rPr>
          <w:rFonts w:ascii="Times New Roman" w:hAnsi="Times New Roman"/>
          <w:caps w:val="false"/>
          <w:smallCaps w:val="false"/>
          <w:sz w:val="20"/>
          <w:shd w:fill="FFFFFF" w:val="clear"/>
        </w:rPr>
        <w:t xml:space="preserve">-overexpressed/amplified breast cancer following adjuvant trastuzumab-based therapy. Following FDA approval in </w:t>
      </w:r>
      <w:r>
        <w:rPr>
          <w:rStyle w:val="Emphasis"/>
          <w:rFonts w:ascii="Times New Roman" w:hAnsi="Times New Roman"/>
          <w:caps w:val="false"/>
          <w:smallCaps w:val="false"/>
          <w:sz w:val="20"/>
          <w:shd w:fill="FFFFFF" w:val="clear"/>
        </w:rPr>
        <w:t xml:space="preserve">July 2017, </w:t>
      </w:r>
      <w:r>
        <w:rPr>
          <w:rFonts w:ascii="Times New Roman" w:hAnsi="Times New Roman"/>
          <w:caps w:val="false"/>
          <w:smallCaps w:val="false"/>
          <w:sz w:val="20"/>
          <w:shd w:fill="FFFFFF" w:val="clear"/>
        </w:rPr>
        <w:t>NERLYNX became available by prescription in the United States, and the Company commenced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NERLYNX was also approved by the FDA in combination with capecitabine for the treatment of adult patients with advanced or metastatic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-positive breast cancer who have received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or more prior anti-</w:t>
      </w:r>
      <w:r>
        <w:rPr>
          <w:rStyle w:val="Emphasis"/>
          <w:rFonts w:ascii="Times New Roman" w:hAnsi="Times New Roman"/>
          <w:caps w:val="false"/>
          <w:smallCaps w:val="false"/>
          <w:sz w:val="20"/>
        </w:rPr>
        <w:t>HER2</w:t>
      </w:r>
      <w:r>
        <w:rPr>
          <w:rFonts w:ascii="Times New Roman" w:hAnsi="Times New Roman"/>
          <w:caps w:val="false"/>
          <w:smallCaps w:val="false"/>
          <w:sz w:val="20"/>
        </w:rPr>
        <w:t>-based regimens in the metastatic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European Commission (“EC”) granted marketing authorization for NERLYNX in the EU for the extended adjuvant treatment of adult patients with early stage hormone receptor-positive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and who are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completion of prior adjuvant trastuzumab-based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is required to make substantial payments to Pfizer upon the achievement of certain milestones and has contractual obligations for clinical trial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has entered into other exclusive sub-license agreements with various parties to pursue regulatory approval, if necessary, and commercialize NERLYNX, if approved, in many regions outside the United States, including Europe (excluding Ukraine), Australia, Canada, China, Southeast Asia, Israel, South Korea, Russia and various countries and territories in Central America, South America, Africa and the Middle East. The Company plans to continue to pursue commercialization of NERLYNX in other countries outside the United States, if approved.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September 2022, </w:t>
      </w:r>
      <w:r>
        <w:rPr>
          <w:rFonts w:ascii="Times New Roman" w:hAnsi="Times New Roman"/>
          <w:caps w:val="false"/>
          <w:smallCaps w:val="false"/>
          <w:sz w:val="20"/>
          <w:shd w:fill="FFFFFF" w:val="clear"/>
        </w:rPr>
        <w:t xml:space="preserve">the Company entered into an exclusive license agreement with a subsidiary of Takeda Pharmaceutical Company Limited (“Takeda”) to license the worldwide research and development and commercial rights to alisertib, a selective, small-molecule, orally administered inhibitor of Aurora Kinase A. Alisertib is an adenosine triphosphate–competitive and reversible inhibitor of Aurora Kinase A and results in disruption of mitosis leading to apoptosis of rapidly proliferating tumor cells that are dependent on Aurora Kinase A. Alisertib has been tested in clinical trials in patients with metastatic cancers including breast cancer, small cell lung cancer, head and neck cancer, ovarian cancer, peripheral T cell lymphoma and acute myeloid leukemia. Under the terms of the exclusive license agreement, the Company assumed sole responsibility for the global development and commercialization of alisertib. The Company paid Takeda an upfront license fee of $7.0 million in </w:t>
      </w:r>
      <w:r>
        <w:rPr>
          <w:rStyle w:val="Emphasis"/>
          <w:rFonts w:ascii="Times New Roman" w:hAnsi="Times New Roman"/>
          <w:caps w:val="false"/>
          <w:smallCaps w:val="false"/>
          <w:sz w:val="20"/>
          <w:shd w:fill="FFFFFF" w:val="clear"/>
        </w:rPr>
        <w:t xml:space="preserve">October 2022 </w:t>
      </w:r>
      <w:r>
        <w:rPr>
          <w:rFonts w:ascii="Times New Roman" w:hAnsi="Times New Roman"/>
          <w:caps w:val="false"/>
          <w:smallCaps w:val="false"/>
          <w:sz w:val="20"/>
          <w:shd w:fill="FFFFFF" w:val="clear"/>
        </w:rPr>
        <w:t xml:space="preserve">and Takeda is eligible to receive potential future milestone payments of up to $287.3 million upon the Company’s achievement of certain regulatory and commercial milestones over the course of the exclusive license agreement, as well as tiered royalty payments for any net sales of alisertib.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milestones had been accrued as the underlying contingencies were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probable or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Company has reported net income of appro</w:t>
      </w:r>
      <w:r>
        <w:rPr>
          <w:rFonts w:ascii="Times New Roman" w:hAnsi="Times New Roman"/>
          <w:caps w:val="false"/>
          <w:smallCaps w:val="false"/>
          <w:sz w:val="20"/>
          <w:shd w:fill="FFFFFF" w:val="clear"/>
        </w:rPr>
        <w:t>ximately </w:t>
      </w:r>
      <w:r>
        <w:rPr>
          <w:rFonts w:ascii="Times New Roman" w:hAnsi="Times New Roman"/>
          <w:caps w:val="false"/>
          <w:smallCaps w:val="false"/>
          <w:sz w:val="20"/>
        </w:rPr>
        <w:t>$31.1</w:t>
      </w:r>
      <w:r>
        <w:rPr>
          <w:rFonts w:ascii="Times New Roman" w:hAnsi="Times New Roman"/>
          <w:caps w:val="false"/>
          <w:smallCaps w:val="false"/>
          <w:sz w:val="20"/>
          <w:shd w:fill="FFFFFF" w:val="clear"/>
        </w:rPr>
        <w:t> million and c</w:t>
      </w:r>
      <w:r>
        <w:rPr>
          <w:rFonts w:ascii="Times New Roman" w:hAnsi="Times New Roman"/>
          <w:caps w:val="false"/>
          <w:smallCaps w:val="false"/>
          <w:sz w:val="20"/>
        </w:rPr>
        <w:t xml:space="preserve">ash provided by operations of approximately $41.8 million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commercialization, research and development or marketi</w:t>
      </w:r>
      <w:r>
        <w:rPr>
          <w:rFonts w:ascii="Times New Roman" w:hAnsi="Times New Roman"/>
          <w:caps w:val="false"/>
          <w:smallCaps w:val="false"/>
          <w:sz w:val="20"/>
          <w:shd w:fill="FFFFFF" w:val="clear"/>
        </w:rPr>
        <w:t xml:space="preserve">ng efforts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require funding in addition to the cash and cash</w:t>
      </w:r>
      <w:r>
        <w:rPr>
          <w:rFonts w:ascii="Times New Roman" w:hAnsi="Times New Roman"/>
          <w:caps w:val="false"/>
          <w:smallCaps w:val="false"/>
          <w:sz w:val="20"/>
        </w:rPr>
        <w:t xml:space="preserve"> equivalents and marketable securities totaling approximately $97.5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believes that its existing cash and cash equivalents and marketable securities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proceeds that will become available to the Company through product sales and sub-license payments are sufficient to satisfy its operating cash needs, including amounts due under the Company's Note Purchase Agreement with Athyrium, Opportunities IV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(“Athyrium”) (see Note </w:t>
      </w:r>
      <w:r>
        <w:rPr>
          <w:rStyle w:val="Emphasis"/>
          <w:rFonts w:ascii="Times New Roman" w:hAnsi="Times New Roman"/>
          <w:caps w:val="false"/>
          <w:smallCaps w:val="false"/>
          <w:sz w:val="20"/>
        </w:rPr>
        <w:t>9—Debt</w:t>
      </w:r>
      <w:r>
        <w:rPr>
          <w:rFonts w:ascii="Times New Roman" w:hAnsi="Times New Roman"/>
          <w:caps w:val="false"/>
          <w:smallCaps w:val="false"/>
          <w:sz w:val="20"/>
        </w:rPr>
        <w:t xml:space="preserve">),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filing of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in which these financial statements are included. The Company continues to remain dependent, in part, on its ability to obtain sufficient funding to sustain operations and continue to successfully commercialize neratinib in the United States. While the Company has been successful in raising capital in the past,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it will be able to do so in the future. The Company’s ability to obtain funding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adversely impacted by uncertain market and economic conditions, including the Company’s success in commercializing neratinib and unfavorable decisions of regulatory authorities or adverse clinical trial results. The outcome of these matters cannot be predicted at this time. Additionally, the terms of the Company’s Note Purchase Agreement place restrictions on the Company’s ability to operate the business and on the Company’s financial flexibility, and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unable to achieve the revenue necessary to satisfy the minimum revenue and cash balance covenants as specified in the agreement.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Since its inception through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financing has primarily been proceeds from product, royalty, and license revenue, public offerings of its common stock, private equity placements, and various debt instruments.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2—Significant</w:t>
      </w:r>
      <w:r>
        <w:rPr>
          <w:rFonts w:ascii="Times New Roman" w:hAnsi="Times New Roman"/>
          <w:b/>
          <w:caps w:val="false"/>
          <w:smallCaps w:val="false"/>
          <w:sz w:val="20"/>
        </w:rPr>
        <w:t xml:space="preserv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significant accounting policies followed in the preparation of these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subsidiary.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Segment Reporting</w:t>
      </w:r>
    </w:p>
    <w:p>
      <w:pPr>
        <w:pStyle w:val="TextBody"/>
        <w:bidi w:val="0"/>
        <w:spacing w:before="0" w:after="0"/>
        <w:ind w:left="0" w:right="0" w:hanging="0"/>
        <w:jc w:val="left"/>
        <w:rPr/>
      </w:pPr>
      <w:r>
        <w:rPr/>
        <w:t> </w:t>
      </w:r>
    </w:p>
    <w:p>
      <w:pPr>
        <w:pStyle w:val="TextBody"/>
        <w:bidi w:val="0"/>
        <w:spacing w:before="0" w:after="0"/>
        <w:ind w:left="0" w:right="0" w:firstLine="560"/>
        <w:jc w:val="left"/>
        <w:rPr/>
      </w:pPr>
      <w:r>
        <w:rPr>
          <w:rFonts w:ascii="Times New Roman" w:hAnsi="Times New Roman"/>
          <w:sz w:val="20"/>
        </w:rPr>
        <w:t xml:space="preserve">Management has determined that the Company operates in one reporting segment, which is the development and commercialization of innovative products to enhance cancer care. The Company derives its global product, license and royalty revenue through the sales of NERLYNX®. The majority of our royalty revenue is derived from our sub-licensee sales into China. The accounting policies of this operating segment are the same as those described below in Note </w:t>
      </w:r>
      <w:r>
        <w:rPr>
          <w:rStyle w:val="Emphasis"/>
          <w:rFonts w:ascii="Times New Roman" w:hAnsi="Times New Roman"/>
          <w:sz w:val="20"/>
        </w:rPr>
        <w:t>2–Significant</w:t>
      </w:r>
      <w:r>
        <w:rPr>
          <w:rFonts w:ascii="Times New Roman" w:hAnsi="Times New Roman"/>
          <w:sz w:val="20"/>
        </w:rPr>
        <w:t xml:space="preserv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its President, Chief Executive Officer and Chairman of the Board, Alan H. Auerbach. The CODM primarily uses our Consolidated Statement of Operations and related revenues, expenses and net income in evaluating the performance of the single operating segment and determining how to allocate resources of the Company as a whole, including its sales force and related marketing, research and development programs, including alisertib, and licensing strategy. Consolidated revenue, expenses and net income are also used to monitor budget versus actual results.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addition to the significant expense categories included within consolidated net income presented on the Company's Consolidated Statements of Operations, see below for disaggregated amounts that comprise operating expenses:</w:t>
      </w:r>
    </w:p>
    <w:p>
      <w:pPr>
        <w:pStyle w:val="TextBody"/>
        <w:bidi w:val="0"/>
        <w:spacing w:before="0" w:after="0"/>
        <w:ind w:left="0" w:right="0" w:firstLine="560"/>
        <w:jc w:val="left"/>
        <w:rPr>
          <w:caps w:val="false"/>
          <w:smallCaps w:val="false"/>
        </w:rPr>
      </w:pPr>
      <w:r>
        <w:rPr>
          <w:caps w:val="false"/>
          <w:smallCaps w:val="false"/>
        </w:rPr>
        <w:t> </w:t>
      </w:r>
    </w:p>
    <w:tbl>
      <w:tblPr>
        <w:tblW w:w="5901" w:type="dxa"/>
        <w:jc w:val="left"/>
        <w:tblInd w:w="0" w:type="dxa"/>
        <w:tblLayout w:type="fixed"/>
        <w:tblCellMar>
          <w:top w:w="0" w:type="dxa"/>
          <w:left w:w="0" w:type="dxa"/>
          <w:bottom w:w="0" w:type="dxa"/>
          <w:right w:w="0" w:type="dxa"/>
        </w:tblCellMar>
      </w:tblPr>
      <w:tblGrid>
        <w:gridCol w:w="2900"/>
        <w:gridCol w:w="60"/>
        <w:gridCol w:w="133"/>
        <w:gridCol w:w="742"/>
        <w:gridCol w:w="64"/>
        <w:gridCol w:w="64"/>
        <w:gridCol w:w="133"/>
        <w:gridCol w:w="742"/>
        <w:gridCol w:w="64"/>
        <w:gridCol w:w="64"/>
        <w:gridCol w:w="133"/>
        <w:gridCol w:w="742"/>
        <w:gridCol w:w="6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8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December 31,</w:t>
            </w:r>
          </w:p>
        </w:tc>
        <w:tc>
          <w:tcPr>
            <w:tcW w:w="6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64,404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62,682</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36,749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45,132</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research and development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17,784</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affairs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6,751</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(1)</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22,508</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184,128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192,750</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10,247</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199,502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202,997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Other research and development expense includes regulatory affairs, pharmacovigilance, quality assurance, chemical manufacturing and other costs.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Generally Accepted Accounting Principles ("GAAP") in the United States requires management to make estimates and assumptions that affect reported amounts of assets and liabilities, and disclosure of contingent assets and liabilities at the date of the balance sheet, and reported amounts of revenues and expenses for the period presented. Accordingly,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Significant estimates include estimates for variable consideration for which reserves were established. These estimates are included in the calculation of net revenues and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Other significant estimates include those related to the valuation of deferred income taxes, legal and other expense accruals.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Reclassifications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Certain prior year amounts in the Consolidated Statements of Cash Flows have been reclassified to correct an error in the prior year's presentation. Specifically, for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 change in deferred tax assets of $7.1 million was previously classified within "Changes in operating assets and liabilities." This amount has been reclassified to non-cash items within the operating activities section of the Consolidated Statements of Cash Flows. This reclassification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total net cash provided by (used in) operating activities, net income, or the Consolidated Balance Sheets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Basic net income per share of common stock is computed by dividing net income available to common stockholders by the weighted average number of shares of common stock outstanding during the periods presented, as required by Accounting Standard Codification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For purposes of calculating diluted net income per share of common stock, the denominator includes both the weighted average number of shares of common stock outstanding and the number of dilutive common stock equivalents, such as stock options, restricted stock units (“RSUs”) and warrants. A common stock equivalent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denominator when calculating diluted earnings per common share if the effect of such common stock equivalent would be anti-dilutive.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Our potentially dilutive securities include potential common shares related to our stock options and RSUs granted in connection with the Puma Biotechnology, Inc.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Incentive Award Plan and the Puma Biotechnology, Inc.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Employment Inducement Incentive Award Plan. Diluted earnings per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The following potentially dilutive outstanding common stock equivalents for the respective periods were excluded from diluted net income per share because of their anti-dilutive effect: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510"/>
        <w:gridCol w:w="60"/>
        <w:gridCol w:w="60"/>
        <w:gridCol w:w="845"/>
        <w:gridCol w:w="60"/>
        <w:gridCol w:w="60"/>
        <w:gridCol w:w="60"/>
        <w:gridCol w:w="845"/>
        <w:gridCol w:w="6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6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3,533,693</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734,236</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5,731,963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6,384,179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the promised goods or services in an amount that reflects the consideration that the entity expects to be entitled in exchange for those goods or services.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with customers until the FDA approved NERLYNX on </w:t>
      </w:r>
      <w:r>
        <w:rPr>
          <w:rStyle w:val="Emphasis"/>
          <w:rFonts w:ascii="Times New Roman" w:hAnsi="Times New Roman"/>
          <w:caps w:val="false"/>
          <w:smallCaps w:val="false"/>
          <w:sz w:val="20"/>
        </w:rPr>
        <w:t>July 17, 2017. </w:t>
      </w:r>
      <w:r>
        <w:rPr>
          <w:rFonts w:ascii="Times New Roman" w:hAnsi="Times New Roman"/>
          <w:caps w:val="false"/>
          <w:smallCaps w:val="false"/>
          <w:sz w:val="20"/>
        </w:rPr>
        <w:t>Subsequent to receiving FDA approval, the Company entered into a limited number of arrangements with specialty pharmacies and specialty distributors in the United States to distribute NERLYNX. These arrangements are the Company’s initial contracts with customers. The Company has determined that these sales channels with customers are similar.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sells NERLYNX to a limited number of specialty pharmacies and specialty distributors in the United States. These customers subsequently resell the Company’s products to patients and certain medical centers or hospitals. In addition to distribution agreements with these customers, the Company enters into arrangements with healthcare providers and payors that provide for government mandated and/or privately negotiated rebates, chargebacks and discounts with respect to the purchase of the Company’s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recognizes revenue on product sales when the specialty pharmacy or specialty distributor, as applicable, obtains control of the Company's product, which occurs at a point in time (upon delivery). Product revenue is recorded net of applicable reserves for variable consideration, including discounts and allowances. The Company’s payment terms range between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68</w:t>
      </w:r>
      <w:r>
        <w:rPr>
          <w:rFonts w:ascii="Times New Roman" w:hAnsi="Times New Roman"/>
          <w:caps w:val="false"/>
          <w:smallCaps w:val="false"/>
          <w:sz w:val="20"/>
        </w:rPr>
        <w:t xml:space="preserve"> days.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Shipping and handling costs for product shipments occur prior to the customer obtaining control of the goods and are recorded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If taxes relating to product sales should be collected from customers and remitted to governmental authorities, they will be excluded from revenue. The Company expenses incremental costs of obtaining a contract when incurred if the expected amortization period of the asset that the Company would have recognized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costs were incurred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five customers individually comprised approximately 27.3%, 17.0%, 16.4%, 13.1% and 10.</w:t>
      </w:r>
      <w:r>
        <w:rPr>
          <w:rStyle w:val="Emphasis"/>
          <w:rFonts w:ascii="Times New Roman" w:hAnsi="Times New Roman"/>
          <w:caps w:val="false"/>
          <w:smallCaps w:val="false"/>
          <w:sz w:val="20"/>
          <w:shd w:fill="FFFFFF" w:val="clear"/>
        </w:rPr>
        <w:t>6%,</w:t>
      </w:r>
      <w:r>
        <w:rPr>
          <w:rFonts w:ascii="Times New Roman" w:hAnsi="Times New Roman"/>
          <w:caps w:val="false"/>
          <w:smallCaps w:val="false"/>
          <w:sz w:val="20"/>
          <w:shd w:fill="FFFFFF" w:val="clear"/>
        </w:rPr>
        <w:t xml:space="preserve"> respectively, of the Company’s total product revenue.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shd w:fill="FFFFFF" w:val="clear"/>
        </w:rPr>
        <w:t xml:space="preserve">, four customers individually comprised approximately </w:t>
      </w:r>
      <w:r>
        <w:rPr>
          <w:rFonts w:ascii="Times New Roman" w:hAnsi="Times New Roman"/>
          <w:caps w:val="false"/>
          <w:smallCaps w:val="false"/>
          <w:sz w:val="20"/>
        </w:rPr>
        <w:t>28.4%, 18.8%, 14.1% and 12.3%</w:t>
      </w:r>
      <w:r>
        <w:rPr>
          <w:rFonts w:ascii="Times New Roman" w:hAnsi="Times New Roman"/>
          <w:caps w:val="false"/>
          <w:smallCaps w:val="false"/>
          <w:sz w:val="20"/>
          <w:shd w:fill="FFFFFF" w:val="clear"/>
        </w:rPr>
        <w:t xml:space="preserve">, respectively, of the Company’s total product revenue.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four customers individually comprised approximately 31.4%, 17.2%, 1</w:t>
      </w:r>
      <w:r>
        <w:rPr>
          <w:rStyle w:val="Emphasis"/>
          <w:rFonts w:ascii="Times New Roman" w:hAnsi="Times New Roman"/>
          <w:caps w:val="false"/>
          <w:smallCaps w:val="false"/>
          <w:sz w:val="20"/>
          <w:shd w:fill="FFFFFF" w:val="clear"/>
        </w:rPr>
        <w:t>5.2%</w:t>
      </w:r>
      <w:r>
        <w:rPr>
          <w:rFonts w:ascii="Times New Roman" w:hAnsi="Times New Roman"/>
          <w:caps w:val="false"/>
          <w:smallCaps w:val="false"/>
          <w:sz w:val="20"/>
          <w:shd w:fill="FFFFFF" w:val="clear"/>
        </w:rPr>
        <w:t xml:space="preserve"> and 11.9%, respectively, of the Company’s total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Reserves for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Revenue from product sales is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related sales, and are classified as reductions of accounts receivable, net when the right of offset exists in accordance with Accounting Standards Update ("ASU”) </w:t>
      </w:r>
      <w:r>
        <w:rPr>
          <w:rStyle w:val="Emphasis"/>
          <w:rFonts w:ascii="Times New Roman" w:hAnsi="Times New Roman"/>
          <w:caps w:val="false"/>
          <w:smallCaps w:val="false"/>
          <w:sz w:val="20"/>
        </w:rPr>
        <w:t>2013</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Balance Sheet (Topic </w:t>
      </w:r>
      <w:r>
        <w:rPr>
          <w:rStyle w:val="Emphasis"/>
          <w:rFonts w:ascii="Times New Roman" w:hAnsi="Times New Roman"/>
          <w:i/>
          <w:caps w:val="false"/>
          <w:smallCaps w:val="false"/>
          <w:sz w:val="20"/>
        </w:rPr>
        <w:t>210</w:t>
      </w:r>
      <w:r>
        <w:rPr>
          <w:rFonts w:ascii="Times New Roman" w:hAnsi="Times New Roman"/>
          <w:i/>
          <w:caps w:val="false"/>
          <w:smallCaps w:val="false"/>
          <w:sz w:val="20"/>
        </w:rPr>
        <w:t>): Clarifying the Scope of Disclosures about Offsetting Assets and Liabilities</w:t>
      </w:r>
      <w:r>
        <w:rPr>
          <w:rFonts w:ascii="Times New Roman" w:hAnsi="Times New Roman"/>
          <w:caps w:val="false"/>
          <w:smallCaps w:val="false"/>
          <w:sz w:val="20"/>
        </w:rPr>
        <w:t xml:space="preserve">, or as a current liability. These estimates take into consideration a range of possible outcomes that are probability-weighted in accordance with the expected value method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constrained and is included in the net sales price only to the extent that it is probable that a significant reversal in the amount of the cumulative revenue recognized under the contract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The Company’s analyses also contemplated application of the constraint in accordance with the guidance, under which it determined a significant reversal of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occur in a future period for the estimates detailed below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therefore, the transaction price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further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Actual amounts of consideration ultimately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If actual results in the future vary from the Company’s estimates, the Company will adjust these estimates, which would affect net product revenue and earnings in the period such variances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Trade Discounts and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generally provides customers with discounts, which include incentive fees that are explicitly stated in the Company’s contracts and are recorded as a reduction of revenue in the period the related product revenue is recognized. The reserve for discounts is established in the same period that the related revenue is recognized, together with reductions to accounts receivable, net on the consolidated balance sheets. In addition, the Company compensates its customers for sales order management, data, and distribution services. The Company has determined such services received to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from the Company’s sale of products to its customers and, therefore, these payments have been recorded as a reduction of revenue within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Product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Consistent with industry practice, the Company offers the specialty pharmacies and specialty distributors that are its customers limited product return rights for damaged and expiring product, provided it is within a specified period around the product expiration date as set forth in the applicable individual distribution agreement.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as a reduction of revenue in the period the related product revenue is recognized, as well as a reduction to accounts receivables, net on the consolidated balance sheets. The Company currently estimates product returns using its own sales information, including its visibility into the inventory remaining in the distribution channel. The Company has an insignificant number of returns to date and believes that returns of its products will continue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Provider Chargebacks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Chargebacks for fees and discounts to providers represent the estimated obligations resulting from contractual commitments to sell products to qualified healthcare providers at prices lower than the list prices charged to its customers who directly purchase the product from the Company.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a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Government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is subject to discount obligations under state Medicaid programs and Medicare. These reserves are recorded in the same period the related revenue is recognized, resulting in a reduction of product revenue, net and the establishment of a current liability, which is included in accrued expenses on the consolidated balance sheets. The Company’s liability for these rebates consists of invoices received for claims from prior quarters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paid or for which an invoice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received, estimates of claims for the current quarter, and estimates of future claims that will be made for product that has been recognized as revenue, but which remains in the distribution channel at the end of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Payor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contracts with certain private payor organizations, primarily insurance companies and pharmacy benefit managers, for the payment of rebates with respect to utilization of its products. The Company estimates these rebates and records such estimates in the same period the related revenue is recognized, resulting in a reduction of product revenue, net and the establishment of a current liability, which is included in accrued expenses on the consolidated balance sheets.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Other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Other incentives the Company offers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also recognizes license revenue under certain of the Company’s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terms of these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contain multiple performance obligations,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and research and development activities. The Company evaluates these agreements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determine the distinct performance obligations. Non-refundable, upfront fees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any future performance and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consequential continuing involvement by the Company, are recognized as revenue when the license term commences and the licensed data, technology or product is delivered. The Company defers recognition of non-refundable upfront license fees if the performance obligations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 Company’s payment terms range between the execution date of the sub-license agreement and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and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has entered into sub-license agreements with certain sub-licensees in territories outside of the United States. These sub-licensing agreements grant certain intellectual property rights and set forth various obligations with respect to actions such as development, pursuit and maintenance of regulatory approvals, commercialization and supply of NERLYNX in the sub-licensees’ respective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License fees under the sub-license agreements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upfront payments when each sub-license agreement was executed and potential additional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payments due to the Company upon successful completion of certain performance obligations, such as achieving regulatory approvals or sales target thresholds, and potential double-digit royalties on sales of the licensed product, calculated as a percentage of net sales of the licensed product throughout each sub-licensee’s respective territory.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total potential milestone payments that would be due to the Company upon achievement of all respective performance obligations under the sub-license agreements is approximately $579.8 million. At this time, the Company cannot estimate if or when these milestone-related performance obligations might be achieved.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For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the related sales occur in accordance with the sales-based royalty exception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55</w:t>
      </w:r>
      <w:r>
        <w:rPr>
          <w:rFonts w:ascii="Times New Roman" w:hAnsi="Times New Roman"/>
          <w:caps w:val="false"/>
          <w:smallCaps w:val="false"/>
          <w:sz w:val="20"/>
        </w:rPr>
        <w:t>-</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Royalty revenue consists of consideration earned related to international sales of NERLYNX made by the Company’s sub-licensees in their respective territories. The Company recognizes royalty revenue when the performance obligations have been satisfied. The Company’s payment terms range between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60</w:t>
      </w:r>
      <w:r>
        <w:rPr>
          <w:rFonts w:ascii="Times New Roman" w:hAnsi="Times New Roman"/>
          <w:caps w:val="false"/>
          <w:smallCaps w:val="false"/>
          <w:sz w:val="20"/>
        </w:rPr>
        <w:t> days.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Royalty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Royalties incurred in connection with the Company’s license agreement with Pfizer, as disclosed in Note </w:t>
      </w:r>
      <w:r>
        <w:rPr>
          <w:rStyle w:val="Emphasis"/>
          <w:rFonts w:ascii="Times New Roman" w:hAnsi="Times New Roman"/>
          <w:caps w:val="false"/>
          <w:smallCaps w:val="false"/>
          <w:sz w:val="20"/>
        </w:rPr>
        <w:t>13–Commitments</w:t>
      </w:r>
      <w:r>
        <w:rPr>
          <w:rFonts w:ascii="Times New Roman" w:hAnsi="Times New Roman"/>
          <w:caps w:val="false"/>
          <w:smallCaps w:val="false"/>
          <w:sz w:val="20"/>
        </w:rPr>
        <w:t xml:space="preserve"> and Contingencies, are expensed to cost of sales as revenue from product sales is recognized.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Contingencies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For legal contingencies, the Company accrues a liability for an estimated loss if the potential loss from any claim or legal proceeding is considered probable and the amount can be reasonably estimated. Legal fees and expenses are expensed as incurred based on invoices or estimates provided by legal counsel. The Company periodically evaluates available information, both internal and external, relative to such contingencies and adjusts the accrual as necessary. The Company determines whether a contingency should be disclosed by assessing whether a material loss is deemed reasonably possible. In determining whether a loss should be accrued, the Company evaluates, among other factors, the degree of probability of an unfavorable outcome and the ability to make a reasonable estimate of the amount of the loss (see Note </w:t>
      </w:r>
      <w:r>
        <w:rPr>
          <w:rStyle w:val="Emphasis"/>
          <w:rFonts w:ascii="Times New Roman" w:hAnsi="Times New Roman"/>
          <w:caps w:val="false"/>
          <w:smallCaps w:val="false"/>
          <w:sz w:val="20"/>
        </w:rPr>
        <w:t>13</w:t>
      </w:r>
      <w:r>
        <w:rPr>
          <w:rFonts w:ascii="Times New Roman" w:hAnsi="Times New Roman"/>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Research</w:t>
      </w:r>
      <w:r>
        <w:rPr>
          <w:rFonts w:ascii="Times New Roman" w:hAnsi="Times New Roman"/>
          <w:caps w:val="false"/>
          <w:smallCaps w:val="false"/>
          <w:sz w:val="20"/>
          <w:shd w:fill="FFFFFF" w:val="clear"/>
        </w:rPr>
        <w:t xml:space="preserve"> and development (“R&amp;D”) expenses are charged to operations as incurred. The major components of research and development costs include clinical manufacturing costs, clinical trial expenses, consulting and other </w:t>
      </w:r>
      <w:r>
        <w:rPr>
          <w:rStyle w:val="Emphasis"/>
          <w:rFonts w:ascii="Times New Roman" w:hAnsi="Times New Roman"/>
          <w:caps w:val="false"/>
          <w:smallCaps w:val="false"/>
          <w:sz w:val="20"/>
          <w:shd w:fill="FFFFFF" w:val="clear"/>
        </w:rPr>
        <w:t>third</w:t>
      </w:r>
      <w:r>
        <w:rPr>
          <w:rFonts w:ascii="Times New Roman" w:hAnsi="Times New Roman"/>
          <w:caps w:val="false"/>
          <w:smallCaps w:val="false"/>
          <w:sz w:val="20"/>
          <w:shd w:fill="FFFFFF" w:val="clear"/>
        </w:rPr>
        <w:t xml:space="preserve">-party costs, salaries and employee benefits, stock-based compensation expense, supplies and materials, and allocations of various overhead costs. Clinical trial expenses include, but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limited to, investigator fees, site costs, comparator drug costs, and clinical research organization (“CRO”) costs. In the normal course of business, the Company contracts with </w:t>
      </w:r>
      <w:r>
        <w:rPr>
          <w:rStyle w:val="Emphasis"/>
          <w:rFonts w:ascii="Times New Roman" w:hAnsi="Times New Roman"/>
          <w:caps w:val="false"/>
          <w:smallCaps w:val="false"/>
          <w:sz w:val="20"/>
          <w:shd w:fill="FFFFFF" w:val="clear"/>
        </w:rPr>
        <w:t>third</w:t>
      </w:r>
      <w:r>
        <w:rPr>
          <w:rFonts w:ascii="Times New Roman" w:hAnsi="Times New Roman"/>
          <w:caps w:val="false"/>
          <w:smallCaps w:val="false"/>
          <w:sz w:val="20"/>
          <w:shd w:fill="FFFFFF" w:val="clear"/>
        </w:rPr>
        <w:t xml:space="preserve"> parties to perform various clinical trial activities in the ongoing development of potential products. The financial terms of these agreements are subject to negotiation and variations from contract to contract and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result in uneven payment flows. Payments under the contracts depend on factors such as the achievement of certain events, the successful enrollment of patients and the completion of portions of the clinical trial or similar conditions. The Company’s accruals for clinical trials are based on estimates of the services received and efforts expen</w:t>
      </w:r>
      <w:r>
        <w:rPr>
          <w:rFonts w:ascii="Times New Roman" w:hAnsi="Times New Roman"/>
          <w:caps w:val="false"/>
          <w:smallCaps w:val="false"/>
          <w:sz w:val="20"/>
        </w:rPr>
        <w:t>ded pursuant to contracts with numerous clinical trial sites, cooperative groups and CROs. As actual costs become known, the Company adjusts its accruals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instances where the Company enters into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for clinical trials and other consulting activities, upfront amounts are recorded to prepaid expenses and other in the accompanying consolidated balance sheets and expensed as services are performed or as the underlying goods are delivered.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services to be rendered or goods to be delivered, any remaining capitalized amounts for non-refundable upfront payments are charged to expense immediately. Amounts due under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fixed fee or fee for service,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upfront payments, monthly payments and payments upon the completion of milestones or receipt of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Costs related to the acquisition of technology rights and patents for which development work is still in process are charged to operations as incurred and considered a component of 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Stock 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requires the fair value of all share-based payments to employees and non-employees, including grants of stock options, to be recognized in the statement of operations over the requisite service period.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employee and non-employee option grants are generally valued at the grant date and those valuations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once they have been established. The fair value of each option award is estimated on the grant date using the Black-Scholes Option Pricing Method. The Company’s estimate of expected volatility is based on its average volatility using its expected life, or approximately the last </w:t>
      </w:r>
      <w:r>
        <w:rPr>
          <w:rStyle w:val="Emphasis"/>
          <w:rFonts w:ascii="Times New Roman" w:hAnsi="Times New Roman"/>
          <w:caps w:val="false"/>
          <w:smallCaps w:val="false"/>
          <w:sz w:val="20"/>
        </w:rPr>
        <w:t>six</w:t>
      </w:r>
      <w:r>
        <w:rPr>
          <w:rFonts w:ascii="Times New Roman" w:hAnsi="Times New Roman"/>
          <w:caps w:val="false"/>
          <w:smallCaps w:val="false"/>
          <w:sz w:val="20"/>
        </w:rPr>
        <w:t> years of publicly traded history. The risk-free rate for periods within the contractual life of the option is based on the U.S. Treasury yield curve in effect at the time of grant valuation. Option forfeitures are estimated when the option is granted to reduce the option expense to be recognized over the life of the award. The estimated forfeiture rate considers historical employee turnover rates stratified into employee pools, actual forfeiture experience and other factors. The option expense is adjusted upon the actual forfeiture of a stock option grant and the Company periodically revises the estimated forfeiture rate in subsequent periods if actual forfeitures differ from those estimates. Due to its limited history of stock option exercises, the Company uses the simplified method to determine the expected life of the option grants. Compensation expense related to modified stock options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pPr>
      <w:r>
        <w:rPr/>
        <w:t> </w:t>
      </w:r>
    </w:p>
    <w:p>
      <w:pPr>
        <w:pStyle w:val="TextBody"/>
        <w:bidi w:val="0"/>
        <w:spacing w:before="0" w:after="0"/>
        <w:ind w:left="0" w:right="0" w:firstLine="56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RSUs are valued on the grant date and the fair value of the RSUs is equal to the market price of the Company’s common stock on the grant date. The RSU expense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date occurs, cumulative compensation cost shall be adjusted to reflect the cumulative effect of measuring compensation cost based on fair value at the grant date rather than the fair value previously used at the service inception date (or any subsequent reporting date). RSU forfeitures are estimated when the RSU is granted to reduce the RSU expense to be recognized over the life of the award. The estimated forfeiture rate considers historical employee turnover rates stratified into employee pools, actual forfeiture experience and other factors. The RSU expense is adjusted upon the actual forfeiture of an RSU grant and the Company periodically revises the estimated forfeiture rate in subsequent periods if actual forfeitures differ from those estimates. Compensation expense related to modified RSUs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Warrants (see Note </w:t>
      </w:r>
      <w:r>
        <w:rPr>
          <w:rStyle w:val="Emphasis"/>
          <w:rFonts w:ascii="Times New Roman" w:hAnsi="Times New Roman"/>
          <w:caps w:val="false"/>
          <w:smallCaps w:val="false"/>
          <w:sz w:val="20"/>
        </w:rPr>
        <w:t>10–Stockholders’</w:t>
      </w:r>
      <w:r>
        <w:rPr>
          <w:rFonts w:ascii="Times New Roman" w:hAnsi="Times New Roman"/>
          <w:caps w:val="false"/>
          <w:smallCaps w:val="false"/>
          <w:sz w:val="20"/>
        </w:rPr>
        <w:t xml:space="preserve"> Equity for further details) granted to employees and non-employees are normally valued at the fair value of the instrument on the grant date and are recognized in the statement of operations over the requisite service period. When the requisite service period precedes the grant date and a market condition exists in the warrant, the Company values the warrant using the Monte Carlo Simulation Method. When the terms of the warrant become fixed, the Company values the warrant using the Black-Scholes Option Pricing Method. The Company’s estimate of expected volatility is based on its average volatility using its past </w:t>
      </w:r>
      <w:r>
        <w:rPr>
          <w:rStyle w:val="Emphasis"/>
          <w:rFonts w:ascii="Times New Roman" w:hAnsi="Times New Roman"/>
          <w:caps w:val="false"/>
          <w:smallCaps w:val="false"/>
          <w:sz w:val="20"/>
        </w:rPr>
        <w:t>nine</w:t>
      </w:r>
      <w:r>
        <w:rPr>
          <w:rFonts w:ascii="Times New Roman" w:hAnsi="Times New Roman"/>
          <w:caps w:val="false"/>
          <w:smallCaps w:val="false"/>
          <w:sz w:val="20"/>
        </w:rPr>
        <w:t> years of publicly traded history. The risk-free rate for periods within the contractual life of the warrant is based on the U.S. Treasury yield curve in effect at the time of grant valuation. In determining the value of the warrant until the terms are fixed, the Company factors in the probability of the market condition occurring and several possible scenarios. When the requisite service period precedes the grant date and is deemed to be complete, the Company records the fair value of the warrant at the time of issuance as an equity stock-based compensation transaction. The grant date is determined when all pertinent information, such as exercise price and quantity are known.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follows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Deferred tax assets and liabilities are measured using enacted tax rates expected to apply to taxable income in the years in which those temporary differences are expected to be recovered or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standard addresses the determination of whether tax benefits claimed or expected to be claimed on a tax return should be recorded in the consolidated financial statements.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recognize the tax benefit from an uncertain tax position only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tax position will be sustained on examination by the tax authorities, based on the technical merits of the position. The tax benefits recognized in the consolidated financial statements from such a position should be measured based on the largest benefit that has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also provides g</w:t>
      </w:r>
      <w:r>
        <w:rPr>
          <w:rFonts w:ascii="Times New Roman" w:hAnsi="Times New Roman"/>
          <w:caps w:val="false"/>
          <w:smallCaps w:val="false"/>
          <w:sz w:val="20"/>
          <w:shd w:fill="FFFFFF" w:val="clear"/>
        </w:rPr>
        <w:t xml:space="preserve">uidance on de-recognition, classification, interest and penalties on income taxes, accounting in interim periods and requires increased disclosures.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the Company’s uncertain tax positions include a reserve for its Research and Development credits.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was signed into law, which includes significant changes to federal tax law and other regulatory provisions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impact the Company. As of the date of these financial statements, the Company has evaluated the impact of the changes to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 Amortization of research and experimental expenditures on the valuation allowance release. The Company intends to deduct the capitalized costs over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This deduction reduces the amount of net operating losses being utilized but results in a net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change to the deferred tax asset balance.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released a portion of our valuation allowance related to our deferred tax assets in the amoun</w:t>
      </w:r>
      <w:r>
        <w:rPr>
          <w:rFonts w:ascii="Times New Roman" w:hAnsi="Times New Roman"/>
          <w:caps w:val="false"/>
          <w:smallCaps w:val="false"/>
          <w:sz w:val="20"/>
          <w:shd w:fill="FFFFFF" w:val="clear"/>
        </w:rPr>
        <w:t>t of $3.8 million, w</w:t>
      </w:r>
      <w:r>
        <w:rPr>
          <w:rFonts w:ascii="Times New Roman" w:hAnsi="Times New Roman"/>
          <w:caps w:val="false"/>
          <w:smallCaps w:val="false"/>
          <w:sz w:val="20"/>
        </w:rPr>
        <w:t>hich reduced our net income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carrying value of financial instruments, such as cash equivalents, accounts receivable and accounts payable, approximate their fair value because of their short-term nature. The carrying value of long-term debt approximates its fair value as the principal amounts outstanding are subject to variable interest rates that are based on market rates that are regularly reset.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classifies all highly liquid instruments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as cash equivalents.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Restricted cash represents cash held at financial institutions that is pledged as collateral for stand-by letters of credit for office leases. The lease related letters of credit will lapse at the end of the respective lease terms through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the Company had restricted cash in the amount of $2.1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classifies all investment securities (short-term and long-term) as available-for-sale, as the sale of such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prior to maturity to implement management’s strategies. These securities are carried at fair value, with the unrealized gains and losses, reported as a component of accumulated other comprehensive inco</w:t>
      </w:r>
      <w:r>
        <w:rPr>
          <w:rFonts w:ascii="Times New Roman" w:hAnsi="Times New Roman"/>
          <w:caps w:val="false"/>
          <w:smallCaps w:val="false"/>
          <w:sz w:val="20"/>
          <w:shd w:fill="FFFFFF" w:val="clear"/>
        </w:rPr>
        <w:t>me in</w:t>
      </w:r>
      <w:r>
        <w:rPr>
          <w:rFonts w:ascii="Times New Roman" w:hAnsi="Times New Roman"/>
          <w:caps w:val="false"/>
          <w:smallCaps w:val="false"/>
          <w:sz w:val="20"/>
        </w:rPr>
        <w:t xml:space="preserve"> stockholders’ equity until realized. Realized gains and losses from the sale of available-for-sale securities, if any, are determined on a specific identification basis. In accordance with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Measurement of Credit Losses on Financial Instruments</w:t>
      </w:r>
      <w:r>
        <w:rPr>
          <w:rFonts w:ascii="Times New Roman" w:hAnsi="Times New Roman"/>
          <w:caps w:val="false"/>
          <w:smallCaps w:val="false"/>
          <w:sz w:val="20"/>
        </w:rPr>
        <w:t>, credit losses on available-for-sale securities are reported using an expected loss model and recorded to an allowance. Premiums and discounts are amortized or accreted over the life of the related security as an adjustment to yield using the straight-line method. Interest income is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 Measured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provides a single definition of fair value and a common framework for measuring fair value as well as disclosure requirements for fair value measurements used in financial statements. Under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creates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to prioritize the inputs used in the valuation techniques to derive fair values. The basis for fair value measurements for each level within the hierarchy is described below, with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having the highest priority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having the lowest.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695"/>
        <w:gridCol w:w="5210"/>
      </w:tblGrid>
      <w:tr>
        <w:trPr/>
        <w:tc>
          <w:tcPr>
            <w:tcW w:w="75" w:type="dxa"/>
            <w:tcBorders/>
            <w:vAlign w:val="center"/>
          </w:tcPr>
          <w:p>
            <w:pPr>
              <w:pStyle w:val="TableContents"/>
              <w:bidi w:val="0"/>
              <w:spacing w:before="0" w:after="0"/>
              <w:ind w:left="540" w:right="0" w:hanging="0"/>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pPr>
            <w:r>
              <w:rPr>
                <w:rFonts w:ascii="Times New Roman;Times;serif" w:hAnsi="Times New Roman;Times;serif"/>
                <w:sz w:val="20"/>
              </w:rPr>
              <w:t xml:space="preserve">Level </w:t>
            </w:r>
            <w:r>
              <w:rPr>
                <w:rStyle w:val="Emphasis"/>
                <w:rFonts w:ascii="Times New Roman;Times;serif" w:hAnsi="Times New Roman;Times;serif"/>
                <w:sz w:val="20"/>
              </w:rPr>
              <w:t>1:</w:t>
            </w:r>
          </w:p>
        </w:tc>
        <w:tc>
          <w:tcPr>
            <w:tcW w:w="5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in active markets for identical assets or liabilities.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82"/>
        <w:gridCol w:w="9548"/>
      </w:tblGrid>
      <w:tr>
        <w:trPr/>
        <w:tc>
          <w:tcPr>
            <w:tcW w:w="75" w:type="dxa"/>
            <w:tcBorders/>
            <w:vAlign w:val="center"/>
          </w:tcPr>
          <w:p>
            <w:pPr>
              <w:pStyle w:val="TableContents"/>
              <w:bidi w:val="0"/>
              <w:spacing w:before="0" w:after="0"/>
              <w:ind w:left="540" w:right="0" w:hanging="0"/>
              <w:jc w:val="left"/>
              <w:rPr>
                <w:caps w:val="false"/>
                <w:smallCaps w:val="false"/>
              </w:rPr>
            </w:pPr>
            <w:r>
              <w:rPr>
                <w:caps w:val="false"/>
                <w:smallCaps w:val="false"/>
              </w:rPr>
              <w:t> </w:t>
            </w:r>
          </w:p>
        </w:tc>
        <w:tc>
          <w:tcPr>
            <w:tcW w:w="582" w:type="dxa"/>
            <w:tcBorders/>
            <w:vAlign w:val="center"/>
          </w:tcPr>
          <w:p>
            <w:pPr>
              <w:pStyle w:val="TableContents"/>
              <w:bidi w:val="0"/>
              <w:spacing w:before="0" w:after="283"/>
              <w:jc w:val="left"/>
              <w:rPr/>
            </w:pPr>
            <w:r>
              <w:rPr>
                <w:rFonts w:ascii="Times New Roman;Times;serif" w:hAnsi="Times New Roman;Times;serif"/>
                <w:sz w:val="20"/>
              </w:rPr>
              <w:t xml:space="preserve">Level </w:t>
            </w:r>
            <w:r>
              <w:rPr>
                <w:rStyle w:val="Emphasis"/>
                <w:rFonts w:ascii="Times New Roman;Times;serif" w:hAnsi="Times New Roman;Times;serif"/>
                <w:sz w:val="20"/>
              </w:rPr>
              <w:t>2:</w:t>
            </w:r>
          </w:p>
        </w:tc>
        <w:tc>
          <w:tcPr>
            <w:tcW w:w="954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Quoted prices for similar assets or liabilities in active markets; quoted prices for identical or similar instruments in markets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active; and model-derived valuations in which all significant inputs are observable in active markets.</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75"/>
        <w:gridCol w:w="695"/>
        <w:gridCol w:w="8450"/>
      </w:tblGrid>
      <w:tr>
        <w:trPr/>
        <w:tc>
          <w:tcPr>
            <w:tcW w:w="75" w:type="dxa"/>
            <w:tcBorders/>
            <w:vAlign w:val="center"/>
          </w:tcPr>
          <w:p>
            <w:pPr>
              <w:pStyle w:val="TableContents"/>
              <w:bidi w:val="0"/>
              <w:spacing w:before="0" w:after="0"/>
              <w:ind w:left="540" w:right="0" w:hanging="0"/>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pPr>
            <w:r>
              <w:rPr>
                <w:rFonts w:ascii="Times New Roman;Times;serif" w:hAnsi="Times New Roman;Times;serif"/>
                <w:sz w:val="20"/>
              </w:rPr>
              <w:t xml:space="preserve">Level </w:t>
            </w:r>
            <w:r>
              <w:rPr>
                <w:rStyle w:val="Emphasis"/>
                <w:rFonts w:ascii="Times New Roman;Times;serif" w:hAnsi="Times New Roman;Times;serif"/>
                <w:sz w:val="20"/>
              </w:rPr>
              <w:t>3:</w:t>
            </w:r>
          </w:p>
        </w:tc>
        <w:tc>
          <w:tcPr>
            <w:tcW w:w="845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Valuations derived from valuation techniques in which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or more significant inputs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Following are the major categories of assets measured at fair value on a recurring basis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using quoted prices in active markets for identical assets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significant other observable inputs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42,776</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paper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26,185</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5,561</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Company’s investments in commercial paper and U.S. government securities are exposed to price fluctuations. The fair value measurements for commercial paper, corporate bonds and U.S. government securities are based upon the quoted prices of identical and similar items in active markets multiplied by the number of securities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Company’s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2225"/>
        <w:gridCol w:w="935"/>
        <w:gridCol w:w="60"/>
        <w:gridCol w:w="152"/>
        <w:gridCol w:w="723"/>
        <w:gridCol w:w="60"/>
        <w:gridCol w:w="60"/>
        <w:gridCol w:w="162"/>
        <w:gridCol w:w="338"/>
        <w:gridCol w:w="62"/>
        <w:gridCol w:w="62"/>
        <w:gridCol w:w="181"/>
        <w:gridCol w:w="379"/>
        <w:gridCol w:w="80"/>
        <w:gridCol w:w="60"/>
        <w:gridCol w:w="163"/>
        <w:gridCol w:w="771"/>
        <w:gridCol w:w="75"/>
      </w:tblGrid>
      <w:tr>
        <w:trPr/>
        <w:tc>
          <w:tcPr>
            <w:tcW w:w="222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75" w:type="dxa"/>
            <w:tcBorders/>
            <w:shd w:fill="FFFFFF" w:val="clear"/>
            <w:vAlign w:val="center"/>
          </w:tcPr>
          <w:p>
            <w:pPr>
              <w:pStyle w:val="TableContents"/>
              <w:bidi w:val="0"/>
              <w:spacing w:before="0" w:after="283"/>
              <w:jc w:val="left"/>
              <w:rPr/>
            </w:pPr>
            <w:r>
              <w:rPr/>
              <w:t> </w:t>
            </w:r>
          </w:p>
        </w:tc>
      </w:tr>
      <w:tr>
        <w:trPr/>
        <w:tc>
          <w:tcPr>
            <w:tcW w:w="3160"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8"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23,770</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42,776</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6,865</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160"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sz w:val="20"/>
              </w:rPr>
              <w:t>Totals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91,663</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6518" w:type="dxa"/>
        <w:jc w:val="left"/>
        <w:tblInd w:w="0" w:type="dxa"/>
        <w:tblLayout w:type="fixed"/>
        <w:tblCellMar>
          <w:top w:w="0" w:type="dxa"/>
          <w:left w:w="0" w:type="dxa"/>
          <w:bottom w:w="0" w:type="dxa"/>
          <w:right w:w="0" w:type="dxa"/>
        </w:tblCellMar>
      </w:tblPr>
      <w:tblGrid>
        <w:gridCol w:w="2210"/>
        <w:gridCol w:w="935"/>
        <w:gridCol w:w="60"/>
        <w:gridCol w:w="152"/>
        <w:gridCol w:w="723"/>
        <w:gridCol w:w="60"/>
        <w:gridCol w:w="60"/>
        <w:gridCol w:w="176"/>
        <w:gridCol w:w="324"/>
        <w:gridCol w:w="62"/>
        <w:gridCol w:w="62"/>
        <w:gridCol w:w="168"/>
        <w:gridCol w:w="392"/>
        <w:gridCol w:w="80"/>
        <w:gridCol w:w="60"/>
        <w:gridCol w:w="163"/>
        <w:gridCol w:w="771"/>
        <w:gridCol w:w="60"/>
      </w:tblGrid>
      <w:tr>
        <w:trPr/>
        <w:tc>
          <w:tcPr>
            <w:tcW w:w="221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2024</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2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26,185</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5,561</w:t>
            </w:r>
          </w:p>
        </w:tc>
        <w:tc>
          <w:tcPr>
            <w:tcW w:w="60" w:type="dxa"/>
            <w:tcBorders/>
            <w:shd w:fill="CCEEFF" w:val="clear"/>
            <w:vAlign w:val="center"/>
          </w:tcPr>
          <w:p>
            <w:pPr>
              <w:pStyle w:val="TableContents"/>
              <w:bidi w:val="0"/>
              <w:spacing w:before="0" w:after="283"/>
              <w:jc w:val="left"/>
              <w:rPr/>
            </w:pPr>
            <w:r>
              <w:rPr/>
              <w:t> </w:t>
            </w:r>
          </w:p>
        </w:tc>
      </w:tr>
      <w:tr>
        <w:trPr/>
        <w:tc>
          <w:tcPr>
            <w:tcW w:w="3145"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Financial instruments, which potentially subject the Company to concentrations of credit risk, principally consist of cash and cash equivalents, marketable securities, and accounts receivable, net. The Company’s cash and cash equivalents and restricted cash in excess of the Federal Deposit Insurance Corporation and the Securities Investor Protection Corporation insured limits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approximately $36.6 million.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it is exposed to any significant credit risk due to the quality nature of the financial instruments in which the money is held. Pursuant to the Company’s internal investment policy, investments must be rated A-</w:t>
      </w:r>
      <w:r>
        <w:rPr>
          <w:rStyle w:val="Emphasis"/>
          <w:rFonts w:ascii="Times New Roman" w:hAnsi="Times New Roman"/>
          <w:caps w:val="false"/>
          <w:smallCaps w:val="false"/>
          <w:sz w:val="20"/>
        </w:rPr>
        <w:t>1/P</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or better by Standard and Poor’s Rating Service and Moody’s Investors Service at the time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Company sells its products in the United States primarily through specialty pharmacies and specialty distributors. Therefore, wholesale distributors and large pharmacy chains account for a large portion of its accounts receivables, net and product revenues, net. The creditworthiness of its customers is continuously monitored, and the Company has internal policies regarding customer credit limits. The Company estimates an allowance for credit loss primarily based on the creditworthiness of its customers, historical payment patterns, aging of receivable balances and general economic conditions</w:t>
      </w:r>
      <w:r>
        <w:rPr>
          <w:rFonts w:ascii="Times New Roman" w:hAnsi="Times New Roman"/>
          <w:caps w:val="false"/>
          <w:smallCaps w:val="false"/>
          <w:sz w:val="20"/>
          <w:shd w:fill="FFFFFF" w:val="clear"/>
        </w:rPr>
        <w:t xml:space="preserve">. The Company recorded $0.4 million credit loss recovery in the year ended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and $0.5 million in the year ended </w:t>
      </w:r>
      <w:r>
        <w:rPr>
          <w:rStyle w:val="Emphasis"/>
          <w:rFonts w:ascii="Times New Roman" w:hAnsi="Times New Roman"/>
          <w:caps w:val="false"/>
          <w:smallCaps w:val="false"/>
          <w:sz w:val="20"/>
          <w:shd w:fill="FFFFFF" w:val="clear"/>
        </w:rPr>
        <w:t>December 31, 2024.</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accounts receivable from individual customers with balances due in exc</w:t>
      </w:r>
      <w:r>
        <w:rPr>
          <w:rFonts w:ascii="Times New Roman" w:hAnsi="Times New Roman"/>
          <w:caps w:val="false"/>
          <w:smallCaps w:val="false"/>
          <w:sz w:val="20"/>
          <w:shd w:fill="FFFFFF" w:val="clear"/>
        </w:rPr>
        <w:t xml:space="preserve">ess of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 xml:space="preserve"> of total accounts receivable totaled $38.9 million and $22.9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Company’s success depends on its ability to successfully commercialize NERLYNX. The Company currently has a single product and limited commercial sales experience, which makes it difficult to evaluate its current business, predict its future prospects and forecast financial performance and growth. The Company has invested a significant portion of its efforts and financial resources in the development and commercialization of its lead product, NERLYNX, and expects NERLYNX to constitute the vast majority of product revenue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relies exclusively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formulate and manufacture NERLYNX and its drug candidates. The commercialization of NERLYNX and any other drug candidates, if approved, could be stopped, delayed or made less profitable if those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fail to provide sufficient quantities of product or fail to do so at acceptable quality levels or prices.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experience in drug formulation or manufacturing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establish its own manufacturing facilities. The Company lacks the resources and expertise to formulate or manufacture NERLYNX and other drug candidates. While the drug candidates were developed by Pfizer, both the drug substance and drug product are manufactured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The Company is using the same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to manufacture, supply, store and distribute drug supplies for clinical trials and the commercialization of NERLYNX. If the Company is unable to continue its relationships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it could experience delays in the development or commercialization efforts as it locates and qualifies new manufacturers. The Company intends to rely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w:t>
      </w:r>
      <w:r>
        <w:rPr>
          <w:rStyle w:val="Emphasis"/>
          <w:rFonts w:ascii="Times New Roman" w:hAnsi="Times New Roman"/>
          <w:caps w:val="false"/>
          <w:smallCaps w:val="false"/>
          <w:sz w:val="20"/>
        </w:rPr>
        <w:t>third</w:t>
      </w:r>
      <w:r>
        <w:rPr>
          <w:rFonts w:ascii="Times New Roman" w:hAnsi="Times New Roman"/>
          <w:caps w:val="false"/>
          <w:smallCaps w:val="false"/>
          <w:sz w:val="20"/>
        </w:rPr>
        <w:t>-party contractors to manufacture the commercial supply of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values its inventories at the lower of cost and estimated net realizable value. The Company determines the cost of its inventories, which includes amounts related to materials and manufacturing overhead,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uses standard costing. The Company performs an assessment of the recoverability of capitalized inventory during each reporting period, and it writes down any excess and obsolete inventories to their estimated realizable value in the period in which the impairment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identified. Such impairment charges, should they occur, are recorded within the cost of sales in the consolidated statements of operations. The determination of whether inventory costs will be realizable requires estimates by management. If actual market conditions are less favorable than projected by management, additional write-downs of inventory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which would be recorded as a cost of sales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Company capitalizes inventory costs associated with the Company’s products after regulatory approval, if any, when, based on management’s judgment, future commercialization is considered probable, and the future economic benefit is expected to be realized. Inventory that can be used in either the production of clinical or commercial product is recorded as research and development expense when selected for use in a clinical trial. Starter kits, provided to patients prior to insurance approval, are expensed by the Company to selling, general and administrative expense as incurred.</w:t>
      </w:r>
      <w:r>
        <w:rPr>
          <w:rFonts w:ascii="Times New Roman" w:hAnsi="Times New Roman"/>
          <w:caps w:val="false"/>
          <w:smallCaps w:val="false"/>
          <w:sz w:val="20"/>
          <w:shd w:fill="FFFFFF" w:val="clear"/>
        </w:rPr>
        <w:t xml:space="preserve"> Of the total inventory amounts noted below, approximately $4.5 million and $1.2 million was located at contract manufacturing organizations in Europe as of </w:t>
      </w:r>
      <w:r>
        <w:rPr>
          <w:rStyle w:val="Emphasis"/>
          <w:rFonts w:ascii="Times New Roman" w:hAnsi="Times New Roman"/>
          <w:caps w:val="false"/>
          <w:smallCaps w:val="false"/>
          <w:sz w:val="20"/>
          <w:shd w:fill="FFFFFF" w:val="clear"/>
        </w:rPr>
        <w:t>December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Company’s inventory balances are as follows: </w:t>
      </w:r>
    </w:p>
    <w:p>
      <w:pPr>
        <w:pStyle w:val="TextBody"/>
        <w:bidi w:val="0"/>
        <w:spacing w:before="0" w:after="0"/>
        <w:ind w:left="0" w:right="0" w:firstLine="560"/>
        <w:jc w:val="left"/>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3920"/>
        <w:gridCol w:w="60"/>
        <w:gridCol w:w="329"/>
        <w:gridCol w:w="1280"/>
        <w:gridCol w:w="60"/>
        <w:gridCol w:w="60"/>
        <w:gridCol w:w="329"/>
        <w:gridCol w:w="1280"/>
        <w:gridCol w:w="75"/>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7,183</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Work-in-process (materials, labor and overhead)</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 (materials, labor and overhead)</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and amortization. Depreciation is computed using the straight-line method over the useful lives of the assets, which is generally three years for computer hardware and software, three years for phone equipment, and seven years for furniture and fixtures. Leasehold improvements are amortized using the straight-line method over the lesser of the useful life or the lease term. Upon retirement or sale, the cost of assets disposed of and the related accumulated depreciation are eliminated from the accounts and any resulting gain or loss is credited or charged to operations. Repairs and maintenance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reviews its long-lived assets used in operations for impairment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as required by ASC Topic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Property, Plant, and Equipment</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360”</w:t>
      </w:r>
      <w:r>
        <w:rPr>
          <w:rFonts w:ascii="Times New Roman" w:hAnsi="Times New Roman"/>
          <w:caps w:val="false"/>
          <w:smallCaps w:val="false"/>
          <w:sz w:val="20"/>
        </w:rPr>
        <w:t>). The Company performs a recoverability test by comparing the sum of the estimated undiscounted cash flows over the life of the asset to its carrying value on the consolidated balance sheet. If the undiscounted cash flows used in the recoverability test are less than the carrying value, the Company would then determine the fair value of the long-lived asset and recognize an impairment loss for the amount in excess of the carrying value.</w:t>
      </w:r>
      <w:r>
        <w:rPr>
          <w:rFonts w:ascii="Times New Roman" w:hAnsi="Times New Roman"/>
          <w:caps w:val="false"/>
          <w:smallCaps w:val="false"/>
          <w:sz w:val="20"/>
          <w:shd w:fill="FFFFFF" w:val="clear"/>
        </w:rPr>
        <w:t xml:space="preserve"> No material impairments were recorded during the years ended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shd w:fill="FFFFFF" w:val="clear"/>
        </w:rPr>
        <w:t>and </w:t>
      </w:r>
      <w:r>
        <w:rPr>
          <w:rStyle w:val="Emphasis"/>
          <w:rFonts w:ascii="Times New Roman" w:hAnsi="Times New Roman"/>
          <w:caps w:val="false"/>
          <w:smallCaps w:val="false"/>
          <w:sz w:val="20"/>
          <w:shd w:fill="FFFFFF" w:val="clear"/>
        </w:rPr>
        <w:t>2024.</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xml:space="preserve">, as adopted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requires lessees to recognize most leases on the balance sheet with a corresponding right-of-use asset (“ROU asset”). ROU assets represent the Company’s right to use an underlying asset for the lease term and lease liabilities represent the Company’s obligation to make lease payments arising from the lease. The assets and lease liabilities are recognized at the lease commencement date based on the estimated present value of fixed lease payments over the lease term. ROU assets are evaluated for impairment using the long-lived assets impairment guidance, as required by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A significant indication of impairment of an ROU asset would include a change in the extent or manner in which the asset is being used. The Company must make assumptions that underlie the most significant and subjective estimates in determining whether any impairment exists. Those estimates, and the underlying assumptions, include estimates of future cash flow utilizing market lease rates and determination of fair value. If an ROU asset related to an operating lease is impaired, the carrying value of the ROU asset post-impairment should be amortized on a straight-line basis through the earlier of the end of the useful life of the ROU asset or the end of the lease term. Post impairment, a lessee must calculate the amortization of the ROU asset and interest expense on the lease liability separately, although the sum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continues to be presented as a single lease cost. If a lease is planned to be abandoned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intention of subleasing, the ROU asset should be assessed for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Leases are classified as financing or operating, which will drive the expense recognition pattern. The Company elects to exclude short-term leases if and when the Company has them. For additional information, see Note </w:t>
      </w:r>
      <w:r>
        <w:rPr>
          <w:rStyle w:val="Emphasis"/>
          <w:rFonts w:ascii="Times New Roman" w:hAnsi="Times New Roman"/>
          <w:caps w:val="false"/>
          <w:smallCaps w:val="false"/>
          <w:sz w:val="20"/>
        </w:rPr>
        <w:t>6–Leases.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leases office space and copy machines, all of which are operating leases. Most leases include the option to renew, and the exercise of the renewal options is at the Company’s sole discretion. Options to extend or terminate a lease are considered in the lease term to the extent that the option is reasonably certain of exercise. The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options to purchase the leased property. The depreciable life of assets and leasehold improvements is limited by the expected lease term. Covenants imposed by the leases include letters of credit required to be obtained by the lessee.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remeasure the lease liability and make an adjustment in the following instances: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The term of the lease has been modified or there has been a change in the Company’s assessment of a purchase option being exercised, in which case the lease liability is remeasured by discounting the revised lease payments using a revised discount rate;</w:t>
      </w:r>
    </w:p>
    <w:p>
      <w:pPr>
        <w:pStyle w:val="TextBody"/>
        <w:bidi w:val="0"/>
        <w:spacing w:before="0" w:after="283"/>
        <w:jc w:val="left"/>
        <w:rPr/>
      </w:pPr>
      <w:r>
        <w:rPr/>
        <w:t xml:space="preserve">  </w:t>
      </w:r>
    </w:p>
    <w:p>
      <w:pPr>
        <w:pStyle w:val="TextBody"/>
        <w:bidi w:val="0"/>
        <w:spacing w:before="0" w:after="0"/>
        <w:ind w:left="160" w:right="0" w:firstLine="540"/>
        <w:jc w:val="left"/>
        <w:rPr/>
      </w:pPr>
      <w:r>
        <w:rPr>
          <w:caps w:val="false"/>
          <w:smallCaps w:val="false"/>
        </w:rPr>
        <w:t xml:space="preserve">• </w:t>
      </w:r>
      <w:r>
        <w:rPr>
          <w:rFonts w:ascii="Times New Roman" w:hAnsi="Times New Roman"/>
          <w:caps w:val="false"/>
          <w:smallCaps w:val="false"/>
          <w:sz w:val="20"/>
        </w:rPr>
        <w:t xml:space="preserve">A lease contract is modified, and the lease modification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a separate lease, in which case the lease liability is remeasured by discounting the revised lease payments using a revised discount rate; and</w:t>
      </w:r>
    </w:p>
    <w:p>
      <w:pPr>
        <w:pStyle w:val="TextBody"/>
        <w:bidi w:val="0"/>
        <w:spacing w:before="0" w:after="283"/>
        <w:jc w:val="left"/>
        <w:rPr/>
      </w:pPr>
      <w:r>
        <w:rPr/>
        <w:t xml:space="preserve">  </w:t>
      </w:r>
    </w:p>
    <w:p>
      <w:pPr>
        <w:pStyle w:val="TextBody"/>
        <w:bidi w:val="0"/>
        <w:spacing w:before="0" w:after="0"/>
        <w:ind w:left="16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The lease payments are adjusted due to changes in the index or a change in expected payment under a guaranteed residual value, in which cases the lease liability is remeasured by discounting the revised lease payments using the initial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incremental borrowing rate (“IBR”) represents the rate of interest the Company would expect to pay on a collateralized basis to borrow an amount equal to the lease payments under similar terms. As the implicit rate on the Company’s leases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the Company uses its IBR</w:t>
      </w:r>
      <w:r>
        <w:rPr>
          <w:rFonts w:ascii="Times New Roman" w:hAnsi="Times New Roman"/>
          <w:caps w:val="false"/>
          <w:smallCaps w:val="false"/>
          <w:sz w:val="20"/>
          <w:shd w:fill="FFFFFF" w:val="clear"/>
        </w:rPr>
        <w:t xml:space="preserve"> based on the information available at the commencement date in determining the present value of lease payments. The Company’s average IBR for existing leases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was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decided to cease the use of a portion of its leased office space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connection with the decreased need for the right to use the ROU asset, the Company entered into a sublease for the underlying asset, in which the sublease income is less than the original lease payments, indicating impairment. In performing the recoverability test on the effective date, the undiscounted future estimated cash flows and carrying value were identified for the subleased portion of the leased building, as an individual asset group, defined under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A reduction to the carrying value of the ROU asset of approximate</w:t>
      </w:r>
      <w:r>
        <w:rPr>
          <w:rFonts w:ascii="Times New Roman" w:hAnsi="Times New Roman"/>
          <w:caps w:val="false"/>
          <w:smallCaps w:val="false"/>
          <w:sz w:val="20"/>
          <w:shd w:fill="FFFFFF" w:val="clear"/>
        </w:rPr>
        <w:t>ly $0.6 million was recorded, representing the fair value amount in excess of the carrying value, with a corresponding impairment charge recorded as selling, general and administration expense, in the consolidated statements of operations for the year ended </w:t>
      </w:r>
      <w:r>
        <w:rPr>
          <w:rStyle w:val="Emphasis"/>
          <w:rFonts w:ascii="Times New Roman" w:hAnsi="Times New Roman"/>
          <w:caps w:val="false"/>
          <w:smallCaps w:val="false"/>
          <w:sz w:val="20"/>
          <w:shd w:fill="FFFFFF" w:val="clear"/>
        </w:rPr>
        <w:t xml:space="preserve">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License Fees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expenses amounts paid to acquire licenses associated with products under development when the ultimate recoverability of the amounts paid is uncertain and the technology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when acquired. Acquisitions of technology licenses are charged to expense or capitalized based upon the asset achieving technological feasibility in accordance with management’s assessment regarding the ultimate recoverability of the amounts paid and the potential for alternative future use. The Company has determined that technological feasibility for its drug candidates is reached when the requisite regulatory approvals are obtained to make the product available for sale. The Company capitalizes technology licenses upon reaching technological feasibility.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maintains definite-lived intangible assets related to the license agreement with Pfizer. These assets are amortized over their remaining useful lives, which are estimated based on the shorter of the remaining patent life or the estimated useful life of the underlying product. Intangible assets are amortized using the economic consumption method if anticipated future revenues can be reasonably estimated. The straight-line method is used when future revenues cannot be reasonably estimated. Amortization costs are recorded as part of cost of sales.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September 2022, </w:t>
      </w:r>
      <w:r>
        <w:rPr>
          <w:rFonts w:ascii="Times New Roman" w:hAnsi="Times New Roman"/>
          <w:caps w:val="false"/>
          <w:smallCaps w:val="false"/>
          <w:sz w:val="20"/>
          <w:shd w:fill="FFFFFF" w:val="clear"/>
        </w:rPr>
        <w:t xml:space="preserve">the Company entered into an exclusive license agreement with Takeda to license the worldwide research and development and commercial rights to alisertib, a selective, small-molecule, orally administered inhibitor of Aurora Kinase A. The upfront payment of $7.0 million was expensed as acquired in-process research and development as the </w:t>
      </w:r>
      <w:r>
        <w:rPr>
          <w:rFonts w:ascii="Times New Roman" w:hAnsi="Times New Roman"/>
          <w:caps w:val="false"/>
          <w:smallCaps w:val="false"/>
          <w:sz w:val="20"/>
        </w:rPr>
        <w:t>drug</w:t>
      </w:r>
      <w:r>
        <w:rPr>
          <w:rFonts w:ascii="Times New Roman" w:hAnsi="Times New Roman"/>
          <w:caps w:val="false"/>
          <w:smallCaps w:val="false"/>
          <w:sz w:val="20"/>
          <w:shd w:fill="FFFFFF" w:val="clear"/>
        </w:rPr>
        <w:t xml:space="preserve"> candidate has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achieved regulatory approval for marketing and has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alternative future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assesses its intangible assets for impairment if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Events that could result in an impairment, or trigger an interim impairment assessment, include the receipt of additional clinical or non-clinical data regarding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drug candidates or a potentially competitive drug candidate, changes in the clinical development program for a drug candidate, or new information regarding potential sales of the drug. If impairment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the Company performs a recoverability test by comparing the sum of the estimated undiscounted cash flows of each asset group to its carrying value on the consolidated balance sheet. If the undiscounted cash flows used in the recoverability test are less than the carrying value, the Company would determine the fair value of the intangible asset and recognize an impairment loss if the carrying value of the intangible asset exceeds its fair value. In connection with the FDA approval of NERLYNX in </w:t>
      </w:r>
      <w:r>
        <w:rPr>
          <w:rStyle w:val="Emphasis"/>
          <w:rFonts w:ascii="Times New Roman" w:hAnsi="Times New Roman"/>
          <w:caps w:val="false"/>
          <w:smallCaps w:val="false"/>
          <w:sz w:val="20"/>
        </w:rPr>
        <w:t xml:space="preserve">July 2017, </w:t>
      </w:r>
      <w:r>
        <w:rPr>
          <w:rFonts w:ascii="Times New Roman" w:hAnsi="Times New Roman"/>
          <w:caps w:val="false"/>
          <w:smallCaps w:val="false"/>
          <w:sz w:val="20"/>
        </w:rPr>
        <w:t xml:space="preserve">the Company triggered a </w:t>
      </w:r>
      <w:r>
        <w:rPr>
          <w:rStyle w:val="Emphasis"/>
          <w:rFonts w:ascii="Times New Roman" w:hAnsi="Times New Roman"/>
          <w:caps w:val="false"/>
          <w:smallCaps w:val="false"/>
          <w:sz w:val="20"/>
        </w:rPr>
        <w:t>one</w:t>
      </w:r>
      <w:r>
        <w:rPr>
          <w:rFonts w:ascii="Times New Roman" w:hAnsi="Times New Roman"/>
          <w:caps w:val="false"/>
          <w:smallCaps w:val="false"/>
          <w:sz w:val="20"/>
        </w:rPr>
        <w:t>-time milestone payment pursuant to its license agreement</w:t>
      </w:r>
      <w:r>
        <w:rPr>
          <w:rFonts w:ascii="Times New Roman" w:hAnsi="Times New Roman"/>
          <w:caps w:val="false"/>
          <w:smallCaps w:val="false"/>
          <w:sz w:val="20"/>
          <w:shd w:fill="FFFFFF" w:val="clear"/>
        </w:rPr>
        <w:t xml:space="preserve"> with Pfizer. In </w:t>
      </w:r>
      <w:r>
        <w:rPr>
          <w:rStyle w:val="Emphasis"/>
          <w:rFonts w:ascii="Times New Roman" w:hAnsi="Times New Roman"/>
          <w:caps w:val="false"/>
          <w:smallCaps w:val="false"/>
          <w:sz w:val="20"/>
          <w:shd w:fill="FFFFFF" w:val="clear"/>
        </w:rPr>
        <w:t xml:space="preserve">June 2020, </w:t>
      </w:r>
      <w:r>
        <w:rPr>
          <w:rFonts w:ascii="Times New Roman" w:hAnsi="Times New Roman"/>
          <w:caps w:val="false"/>
          <w:smallCaps w:val="false"/>
          <w:sz w:val="20"/>
          <w:shd w:fill="FFFFFF" w:val="clear"/>
        </w:rPr>
        <w:t xml:space="preserve">the Company entered into a letter agreement with Pfizer relating to the method of payment associated with a milestone payment under the Company’s license agreement with Pfizer (see Note </w:t>
      </w:r>
      <w:r>
        <w:rPr>
          <w:rStyle w:val="Emphasis"/>
          <w:rFonts w:ascii="Times New Roman" w:hAnsi="Times New Roman"/>
          <w:caps w:val="false"/>
          <w:smallCaps w:val="false"/>
          <w:sz w:val="20"/>
          <w:shd w:fill="FFFFFF" w:val="clear"/>
        </w:rPr>
        <w:t>13–Commitments</w:t>
      </w:r>
      <w:r>
        <w:rPr>
          <w:rFonts w:ascii="Times New Roman" w:hAnsi="Times New Roman"/>
          <w:caps w:val="false"/>
          <w:smallCaps w:val="false"/>
          <w:sz w:val="20"/>
          <w:shd w:fill="FFFFFF" w:val="clear"/>
        </w:rPr>
        <w:t xml:space="preserve"> and Contingencies). The Company capitalized the milestone payments as an intangible asset and is amortizing the asset to cost of sales on a straight-line basis over the estimated useful life of the licensed patent through </w:t>
      </w:r>
      <w:r>
        <w:rPr>
          <w:rStyle w:val="Emphasis"/>
          <w:rFonts w:ascii="Times New Roman" w:hAnsi="Times New Roman"/>
          <w:caps w:val="false"/>
          <w:smallCaps w:val="false"/>
          <w:sz w:val="20"/>
          <w:shd w:fill="FFFFFF" w:val="clear"/>
        </w:rPr>
        <w:t>2030.</w:t>
      </w:r>
      <w:r>
        <w:rPr>
          <w:rFonts w:ascii="Times New Roman" w:hAnsi="Times New Roman"/>
          <w:caps w:val="false"/>
          <w:smallCaps w:val="false"/>
          <w:sz w:val="20"/>
          <w:shd w:fill="FFFFFF" w:val="clear"/>
        </w:rPr>
        <w:t xml:space="preserve"> In addition, the Company reached a commercial milestone by achieving aggregate worldwide net sales of $250 million in calendar year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resulting in a payable to Pfizer of $12.5 million as of </w:t>
      </w:r>
      <w:r>
        <w:rPr>
          <w:rStyle w:val="Emphasis"/>
          <w:rFonts w:ascii="Times New Roman" w:hAnsi="Times New Roman"/>
          <w:caps w:val="false"/>
          <w:smallCaps w:val="false"/>
          <w:sz w:val="20"/>
          <w:shd w:fill="FFFFFF" w:val="clear"/>
        </w:rPr>
        <w:t>December 31, 2022. </w:t>
      </w:r>
      <w:r>
        <w:rPr>
          <w:rFonts w:ascii="Times New Roman" w:hAnsi="Times New Roman"/>
          <w:caps w:val="false"/>
          <w:smallCaps w:val="false"/>
          <w:sz w:val="20"/>
          <w:shd w:fill="FFFFFF" w:val="clear"/>
        </w:rPr>
        <w:t xml:space="preserve">The Company capitalized this milestone as an intangible asset and accrued in-licensed rights on the accompanying consolidated balance sheets and payment was made in the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quarter of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The Company recorded amortization expense related to its intangible assets of </w:t>
      </w:r>
      <w:r>
        <w:rPr>
          <w:rFonts w:ascii="Times New Roman" w:hAnsi="Times New Roman"/>
          <w:caps w:val="false"/>
          <w:smallCaps w:val="false"/>
          <w:sz w:val="20"/>
        </w:rPr>
        <w:t>$9.7</w:t>
      </w:r>
      <w:r>
        <w:rPr>
          <w:rFonts w:ascii="Times New Roman" w:hAnsi="Times New Roman"/>
          <w:caps w:val="false"/>
          <w:smallCaps w:val="false"/>
          <w:sz w:val="20"/>
          <w:shd w:fill="FFFFFF" w:val="clear"/>
        </w:rPr>
        <w:t xml:space="preserve"> million, $9.7 million, and $8.0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xml:space="preserve">, respectively.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estimated future amortization expense related to the Company’s intangible asset was approximately </w:t>
      </w:r>
      <w:r>
        <w:rPr>
          <w:rFonts w:ascii="Times New Roman" w:hAnsi="Times New Roman"/>
          <w:caps w:val="false"/>
          <w:smallCaps w:val="false"/>
          <w:sz w:val="20"/>
        </w:rPr>
        <w:t>$9.7</w:t>
      </w:r>
      <w:r>
        <w:rPr>
          <w:rFonts w:ascii="Times New Roman" w:hAnsi="Times New Roman"/>
          <w:caps w:val="false"/>
          <w:smallCaps w:val="false"/>
          <w:sz w:val="20"/>
          <w:shd w:fill="FFFFFF" w:val="clear"/>
        </w:rPr>
        <w:t> million for each year from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through </w:t>
      </w:r>
      <w:r>
        <w:rPr>
          <w:rStyle w:val="Emphasis"/>
          <w:rFonts w:ascii="Times New Roman" w:hAnsi="Times New Roman"/>
          <w:caps w:val="false"/>
          <w:smallCaps w:val="false"/>
          <w:sz w:val="20"/>
          <w:shd w:fill="FFFFFF" w:val="clear"/>
        </w:rPr>
        <w:t>2029,</w:t>
      </w:r>
      <w:r>
        <w:rPr>
          <w:rFonts w:ascii="Times New Roman" w:hAnsi="Times New Roman"/>
          <w:caps w:val="false"/>
          <w:smallCaps w:val="false"/>
          <w:sz w:val="20"/>
          <w:shd w:fill="FFFFFF" w:val="clear"/>
        </w:rPr>
        <w:t xml:space="preserve"> and $2.4 million for </w:t>
      </w:r>
      <w:r>
        <w:rPr>
          <w:rStyle w:val="Emphasis"/>
          <w:rFonts w:ascii="Times New Roman" w:hAnsi="Times New Roman"/>
          <w:caps w:val="false"/>
          <w:smallCaps w:val="false"/>
          <w:sz w:val="20"/>
          <w:shd w:fill="FFFFFF" w:val="clear"/>
        </w:rPr>
        <w:t>2030.</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Accounting Pronouncements Adopted During the Current Year</w:t>
      </w:r>
    </w:p>
    <w:p>
      <w:pPr>
        <w:pStyle w:val="TextBody"/>
        <w:bidi w:val="0"/>
        <w:spacing w:before="0" w:after="0"/>
        <w:ind w:left="0" w:right="0" w:firstLine="56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 xml:space="preserve">ASU </w:t>
      </w:r>
      <w:r>
        <w:rPr>
          <w:rStyle w:val="Emphasis"/>
          <w:rFonts w:ascii="Times New Roman" w:hAnsi="Times New Roman"/>
          <w:b/>
          <w:caps w:val="false"/>
          <w:smallCaps w:val="false"/>
          <w:sz w:val="20"/>
        </w:rPr>
        <w:t>2023</w:t>
      </w:r>
      <w:r>
        <w:rPr>
          <w:rFonts w:ascii="Times New Roman" w:hAnsi="Times New Roman"/>
          <w:b/>
          <w:caps w:val="false"/>
          <w:smallCaps w:val="false"/>
          <w:sz w:val="20"/>
        </w:rPr>
        <w:t>-</w:t>
      </w:r>
      <w:r>
        <w:rPr>
          <w:rStyle w:val="Emphasis"/>
          <w:rFonts w:ascii="Times New Roman" w:hAnsi="Times New Roman"/>
          <w:b/>
          <w:caps w:val="false"/>
          <w:smallCaps w:val="false"/>
          <w:sz w:val="20"/>
        </w:rPr>
        <w:t>09,</w:t>
      </w:r>
      <w:r>
        <w:rPr>
          <w:rFonts w:ascii="Times New Roman" w:hAnsi="Times New Roman"/>
          <w:b/>
          <w:caps w:val="false"/>
          <w:smallCaps w:val="false"/>
          <w:sz w:val="20"/>
        </w:rPr>
        <w:t xml:space="preserve"> Improvements to Income Tax Disclosures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14,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Improvements to Income Tax Disclosures (</w:t>
      </w:r>
      <w:r>
        <w:rPr>
          <w:rFonts w:ascii="Times New Roman" w:hAnsi="Times New Roman"/>
          <w:caps w:val="false"/>
          <w:smallCaps w:val="false"/>
          <w:sz w:val="20"/>
        </w:rPr>
        <w:t>“</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2023</w:t>
      </w:r>
      <w:r>
        <w:rPr>
          <w:rFonts w:ascii="Times New Roman" w:hAnsi="Times New Roman"/>
          <w:i/>
          <w:caps w:val="false"/>
          <w:smallCaps w:val="false"/>
          <w:sz w:val="20"/>
        </w:rPr>
        <w:t>-</w:t>
      </w:r>
      <w:r>
        <w:rPr>
          <w:rStyle w:val="Emphasis"/>
          <w:rFonts w:ascii="Times New Roman" w:hAnsi="Times New Roman"/>
          <w:i/>
          <w:caps w:val="false"/>
          <w:smallCaps w:val="false"/>
          <w:sz w:val="20"/>
        </w:rPr>
        <w:t>09</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amends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on a prospective basis. Accordingly, the expanded disclosures are provided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while prior period disclosures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retroactively adjusted and continue to be presented under the previous disclosure requirements. As this update only impacts disclosures, its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position, results of operations, or cash flows. See Note </w:t>
      </w:r>
      <w:r>
        <w:rPr>
          <w:rStyle w:val="Emphasis"/>
          <w:rFonts w:ascii="Times New Roman" w:hAnsi="Times New Roman"/>
          <w:caps w:val="false"/>
          <w:smallCaps w:val="false"/>
          <w:sz w:val="20"/>
        </w:rPr>
        <w:t>12</w:t>
      </w:r>
      <w:r>
        <w:rPr>
          <w:rFonts w:ascii="Times New Roman" w:hAnsi="Times New Roman"/>
          <w:caps w:val="false"/>
          <w:smallCaps w:val="false"/>
          <w:sz w:val="20"/>
        </w:rPr>
        <w:t> </w:t>
      </w:r>
      <w:r>
        <w:rPr>
          <w:rFonts w:ascii="Times New Roman" w:hAnsi="Times New Roman"/>
          <w:i/>
          <w:caps w:val="false"/>
          <w:smallCaps w:val="false"/>
          <w:sz w:val="20"/>
        </w:rPr>
        <w:t>Income Taxes</w:t>
      </w:r>
      <w:r>
        <w:rPr>
          <w:rFonts w:ascii="Times New Roman" w:hAnsi="Times New Roman"/>
          <w:caps w:val="false"/>
          <w:smallCaps w:val="false"/>
          <w:sz w:val="20"/>
        </w:rPr>
        <w:t xml:space="preserve"> for additional information.</w:t>
      </w:r>
    </w:p>
    <w:p>
      <w:pPr>
        <w:pStyle w:val="TextBody"/>
        <w:bidi w:val="0"/>
        <w:spacing w:before="0" w:after="0"/>
        <w:ind w:left="0" w:right="0" w:firstLine="560"/>
        <w:jc w:val="left"/>
        <w:rPr/>
      </w:pPr>
      <w:r>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Recently Issued Accounting Standards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Statement-Reporting Comprehensive Income-Expense Disaggregation Disclosures</w:t>
      </w:r>
      <w:r>
        <w:rPr>
          <w:rFonts w:ascii="Times New Roman" w:hAnsi="Times New Roman"/>
          <w:caps w:val="false"/>
          <w:smallCaps w:val="false"/>
          <w:sz w:val="20"/>
        </w:rPr>
        <w:t xml:space="preserve">: The ASU requires more detailed information about specified categories of expenses included in certain expense captions presented on the face of the income statement.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w:t>
      </w:r>
      <w:r>
        <w:rPr>
          <w:rStyle w:val="Emphasis"/>
          <w:rFonts w:ascii="Times New Roman" w:hAnsi="Times New Roman"/>
          <w:caps w:val="false"/>
          <w:smallCaps w:val="false"/>
          <w:sz w:val="20"/>
        </w:rPr>
        <w:t>1</w:t>
      </w:r>
      <w:r>
        <w:rPr>
          <w:rFonts w:ascii="Times New Roman" w:hAnsi="Times New Roman"/>
          <w:caps w:val="false"/>
          <w:smallCaps w:val="false"/>
          <w:sz w:val="20"/>
        </w:rPr>
        <w:t>) prospectively to financial statements issued for reporting periods after the effective date of this ASU or (</w:t>
      </w:r>
      <w:r>
        <w:rPr>
          <w:rStyle w:val="Emphasis"/>
          <w:rFonts w:ascii="Times New Roman" w:hAnsi="Times New Roman"/>
          <w:caps w:val="false"/>
          <w:smallCaps w:val="false"/>
          <w:sz w:val="20"/>
        </w:rPr>
        <w:t>2</w:t>
      </w:r>
      <w:r>
        <w:rPr>
          <w:rFonts w:ascii="Times New Roman" w:hAnsi="Times New Roman"/>
          <w:caps w:val="false"/>
          <w:smallCaps w:val="false"/>
          <w:sz w:val="20"/>
        </w:rPr>
        <w:t>) retrospectively to all prior periods presented in the financial statements. The Company is currently evaluating the impact of adopting this ASU on its consolidated financial statements and related disclosures.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3—Accounts</w:t>
      </w:r>
      <w:r>
        <w:rPr>
          <w:rFonts w:ascii="Times New Roman" w:hAnsi="Times New Roman"/>
          <w:b/>
          <w:caps w:val="false"/>
          <w:smallCaps w:val="false"/>
          <w:sz w:val="20"/>
        </w:rPr>
        <w:t xml:space="preserve">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Accounts receivable,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2450"/>
        <w:gridCol w:w="60"/>
        <w:gridCol w:w="280"/>
        <w:gridCol w:w="1329"/>
        <w:gridCol w:w="60"/>
        <w:gridCol w:w="60"/>
        <w:gridCol w:w="280"/>
        <w:gridCol w:w="1329"/>
        <w:gridCol w:w="8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26,362</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Royalty revenue receivable</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6,011</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32,373</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Allowance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accounts receivable, net</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32,011</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Trade accounts receivable consist entirely of amounts owed from the Company’s customers related to product sales. Royalty revenue receivable represents amounts owed related to royalty revenue recognized based on the Company’s sub-licensees’ sales in their respective territories in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For all accounts receivable, the Company recognizes credit losses based on lifetime expected losses to selling and general administrative expense in the consolidated statements of operations. In determining estimated credit losses, the Company evaluates its historical loss rates, current economic conditions and reasonable and supportable forecasts of future economic conditions. The Compan</w:t>
      </w:r>
      <w:r>
        <w:rPr>
          <w:rFonts w:ascii="Times New Roman" w:hAnsi="Times New Roman"/>
          <w:caps w:val="false"/>
          <w:smallCaps w:val="false"/>
          <w:sz w:val="20"/>
          <w:shd w:fill="FFFFFF" w:val="clear"/>
        </w:rPr>
        <w:t xml:space="preserve">y recorded a recovery to the provision for credit loss recovery of $0.4 million in the year ended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shd w:fill="FFFFFF" w:val="clear"/>
        </w:rPr>
        <w:t xml:space="preserve">The Company recorded $0.5 million recovery to the provision for credit loss recovery in the year ended </w:t>
      </w:r>
      <w:r>
        <w:rPr>
          <w:rStyle w:val="Emphasis"/>
          <w:rFonts w:ascii="Times New Roman" w:hAnsi="Times New Roman"/>
          <w:caps w:val="false"/>
          <w:smallCaps w:val="false"/>
          <w:sz w:val="20"/>
          <w:shd w:fill="FFFFFF" w:val="clear"/>
        </w:rPr>
        <w:t>December 31, 2024 </w:t>
      </w:r>
      <w:r>
        <w:rPr>
          <w:rFonts w:ascii="Times New Roman" w:hAnsi="Times New Roman"/>
          <w:caps w:val="false"/>
          <w:smallCaps w:val="false"/>
          <w:sz w:val="20"/>
          <w:shd w:fill="FFFFFF" w:val="clear"/>
        </w:rPr>
        <w:t xml:space="preserve">and a $0.9 million credit loss expense in the year ended </w:t>
      </w:r>
      <w:r>
        <w:rPr>
          <w:rStyle w:val="Emphasis"/>
          <w:rFonts w:ascii="Times New Roman" w:hAnsi="Times New Roman"/>
          <w:caps w:val="false"/>
          <w:smallCaps w:val="false"/>
          <w:sz w:val="20"/>
          <w:shd w:fill="FFFFFF" w:val="clear"/>
        </w:rPr>
        <w:t>December 31, 2023</w:t>
      </w:r>
      <w:r>
        <w:rPr>
          <w:rFonts w:ascii="Times New Roman" w:hAnsi="Times New Roman"/>
          <w:caps w:val="false"/>
          <w:smallCaps w:val="false"/>
          <w:sz w:val="20"/>
        </w:rPr>
        <w: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4—Prepaid</w:t>
      </w:r>
      <w:r>
        <w:rPr>
          <w:rFonts w:ascii="Times New Roman" w:hAnsi="Times New Roman"/>
          <w:b/>
          <w:caps w:val="false"/>
          <w:smallCaps w:val="false"/>
          <w:sz w:val="20"/>
        </w:rPr>
        <w:t xml:space="preserve"> Expenses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Prepaid expenses and other consisted of the following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698" w:type="dxa"/>
        <w:jc w:val="left"/>
        <w:tblInd w:w="0" w:type="dxa"/>
        <w:tblLayout w:type="fixed"/>
        <w:tblCellMar>
          <w:top w:w="0" w:type="dxa"/>
          <w:left w:w="0" w:type="dxa"/>
          <w:bottom w:w="0" w:type="dxa"/>
          <w:right w:w="0" w:type="dxa"/>
        </w:tblCellMar>
      </w:tblPr>
      <w:tblGrid>
        <w:gridCol w:w="2240"/>
        <w:gridCol w:w="60"/>
        <w:gridCol w:w="329"/>
        <w:gridCol w:w="1280"/>
        <w:gridCol w:w="60"/>
        <w:gridCol w:w="60"/>
        <w:gridCol w:w="329"/>
        <w:gridCol w:w="1280"/>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CRO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Taxes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3,609</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5,867</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CRO services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Insurance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Other current prepaid amounts consist primarily of deposits, signing bonuses, licenses, subscriptions and software.</w:t>
      </w:r>
      <w:r>
        <w:rPr>
          <w:rFonts w:ascii="Times New Roman" w:hAnsi="Times New Roman"/>
          <w:caps w:val="false"/>
          <w:smallCaps w:val="false"/>
          <w:sz w:val="20"/>
          <w:shd w:fill="FFFFFF" w:val="clear"/>
        </w:rPr>
        <w:t> Other long-term prepaid amounts consist primarily of funding for commercial copay support programs.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5—Property</w:t>
      </w:r>
      <w:r>
        <w:rPr>
          <w:rFonts w:ascii="Times New Roman" w:hAnsi="Times New Roman"/>
          <w:b/>
          <w:caps w:val="false"/>
          <w:smallCaps w:val="false"/>
          <w:sz w:val="20"/>
        </w:rPr>
        <w:t xml:space="preserve">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Property and equipment consisted of the following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083" w:type="dxa"/>
        <w:jc w:val="left"/>
        <w:tblInd w:w="0" w:type="dxa"/>
        <w:tblLayout w:type="fixed"/>
        <w:tblCellMar>
          <w:top w:w="0" w:type="dxa"/>
          <w:left w:w="0" w:type="dxa"/>
          <w:bottom w:w="0" w:type="dxa"/>
          <w:right w:w="0" w:type="dxa"/>
        </w:tblCellMar>
      </w:tblPr>
      <w:tblGrid>
        <w:gridCol w:w="2585"/>
        <w:gridCol w:w="60"/>
        <w:gridCol w:w="299"/>
        <w:gridCol w:w="1310"/>
        <w:gridCol w:w="80"/>
        <w:gridCol w:w="60"/>
        <w:gridCol w:w="299"/>
        <w:gridCol w:w="1310"/>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equipment</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 incurred depreciation expense of $0.4 millio</w:t>
      </w:r>
      <w:r>
        <w:rPr>
          <w:rFonts w:ascii="Times New Roman" w:hAnsi="Times New Roman"/>
          <w:caps w:val="false"/>
          <w:smallCaps w:val="false"/>
          <w:sz w:val="20"/>
          <w:shd w:fill="FFFFFF" w:val="clear"/>
        </w:rPr>
        <w:t xml:space="preserve">n for each of the years ended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shd w:fill="FFFFFF" w:val="clear"/>
        </w:rPr>
        <w:t xml:space="preserve">Note </w:t>
      </w:r>
      <w:r>
        <w:rPr>
          <w:rStyle w:val="Emphasis"/>
          <w:rFonts w:ascii="Times New Roman" w:hAnsi="Times New Roman"/>
          <w:b/>
          <w:caps w:val="false"/>
          <w:smallCaps w:val="false"/>
          <w:sz w:val="20"/>
          <w:shd w:fill="FFFFFF" w:val="clear"/>
        </w:rPr>
        <w:t>6—Leases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2011, </w:t>
      </w:r>
      <w:r>
        <w:rPr>
          <w:rFonts w:ascii="Times New Roman" w:hAnsi="Times New Roman"/>
          <w:caps w:val="false"/>
          <w:smallCaps w:val="false"/>
          <w:sz w:val="20"/>
        </w:rPr>
        <w:t xml:space="preserve">the Company entered into a non-cancelable operating lease for office space in Los Angeles, California, which was subsequently amended in </w:t>
      </w:r>
      <w:r>
        <w:rPr>
          <w:rStyle w:val="Emphasis"/>
          <w:rFonts w:ascii="Times New Roman" w:hAnsi="Times New Roman"/>
          <w:caps w:val="false"/>
          <w:smallCaps w:val="false"/>
          <w:sz w:val="20"/>
        </w:rPr>
        <w:t xml:space="preserve">November 2012, December 2013, March 2014, July 2015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2017. </w:t>
      </w:r>
      <w:r>
        <w:rPr>
          <w:rFonts w:ascii="Times New Roman" w:hAnsi="Times New Roman"/>
          <w:caps w:val="false"/>
          <w:smallCaps w:val="false"/>
          <w:sz w:val="20"/>
        </w:rPr>
        <w:t xml:space="preserve">The initial term of the lease was for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and commenced on </w:t>
      </w:r>
      <w:r>
        <w:rPr>
          <w:rStyle w:val="Emphasis"/>
          <w:rFonts w:ascii="Times New Roman" w:hAnsi="Times New Roman"/>
          <w:caps w:val="false"/>
          <w:smallCaps w:val="false"/>
          <w:sz w:val="20"/>
        </w:rPr>
        <w:t xml:space="preserve">December 10, 2011. </w:t>
      </w:r>
      <w:r>
        <w:rPr>
          <w:rFonts w:ascii="Times New Roman" w:hAnsi="Times New Roman"/>
          <w:caps w:val="false"/>
          <w:smallCaps w:val="false"/>
          <w:sz w:val="20"/>
        </w:rPr>
        <w:t xml:space="preserve">As amended, the Company rents approximately 65,656 square feet. The term of the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Company executed an additional amendment to its office space in Los Angeles, California to surrender certain suites effective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extend the lease term for the remaining 26,700 rentable square feet on the </w:t>
      </w:r>
      <w:r>
        <w:rPr>
          <w:rStyle w:val="Emphasis"/>
          <w:rFonts w:ascii="Times New Roman" w:hAnsi="Times New Roman"/>
          <w:caps w:val="false"/>
          <w:smallCaps w:val="false"/>
          <w:sz w:val="20"/>
        </w:rPr>
        <w:t>17th</w:t>
      </w:r>
      <w:r>
        <w:rPr>
          <w:rFonts w:ascii="Times New Roman" w:hAnsi="Times New Roman"/>
          <w:caps w:val="false"/>
          <w:smallCaps w:val="false"/>
          <w:sz w:val="20"/>
        </w:rPr>
        <w:t xml:space="preserve"> floor for an additional five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through </w:t>
      </w:r>
      <w:r>
        <w:rPr>
          <w:rStyle w:val="Emphasis"/>
          <w:rFonts w:ascii="Times New Roman" w:hAnsi="Times New Roman"/>
          <w:caps w:val="false"/>
          <w:smallCaps w:val="false"/>
          <w:sz w:val="20"/>
        </w:rPr>
        <w:t xml:space="preserve">August 31, 2031. </w:t>
      </w:r>
      <w:r>
        <w:rPr>
          <w:rFonts w:ascii="Times New Roman" w:hAnsi="Times New Roman"/>
          <w:caps w:val="false"/>
          <w:smallCaps w:val="false"/>
          <w:sz w:val="20"/>
        </w:rPr>
        <w:t xml:space="preserve">Base rent escalates annually and is abated from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Lease payments also include variable charges for the Company’s proportionate share of building operating expenses and real estate taxes based on a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base year. The Company has the option to renew such lease for an additional five yea</w:t>
      </w:r>
      <w:r>
        <w:rPr>
          <w:rFonts w:ascii="Times New Roman" w:hAnsi="Times New Roman"/>
          <w:caps w:val="false"/>
          <w:smallCaps w:val="false"/>
          <w:sz w:val="20"/>
          <w:shd w:fill="FFFFFF" w:val="clear"/>
        </w:rPr>
        <w:t xml:space="preserve">r term. Management determined that the renewal option is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reasonably certain to occur. Th</w:t>
      </w:r>
      <w:r>
        <w:rPr>
          <w:rFonts w:ascii="Times New Roman" w:hAnsi="Times New Roman"/>
          <w:caps w:val="false"/>
          <w:smallCaps w:val="false"/>
          <w:sz w:val="20"/>
        </w:rPr>
        <w:t>e Company accounted for this amendment as a lease modification.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lease classification as a result of this modification and the Company continues to recognize such a lease as an operating lease. The Company remeasured its ROU assets and operating lease liabilities using an updated incremental borrowing rate. The change in ROU assets and operating lease liabilities related to this lease modification amounted</w:t>
      </w:r>
      <w:r>
        <w:rPr>
          <w:rFonts w:ascii="Times New Roman" w:hAnsi="Times New Roman"/>
          <w:caps w:val="false"/>
          <w:smallCaps w:val="false"/>
          <w:sz w:val="20"/>
          <w:shd w:fill="FFFFFF" w:val="clear"/>
        </w:rPr>
        <w:t xml:space="preserve"> to $4.1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2012, </w:t>
      </w:r>
      <w:r>
        <w:rPr>
          <w:rFonts w:ascii="Times New Roman" w:hAnsi="Times New Roman"/>
          <w:caps w:val="false"/>
          <w:smallCaps w:val="false"/>
          <w:sz w:val="20"/>
        </w:rPr>
        <w:t xml:space="preserve">the Company entered into a long-term lease agreement for office space in South San Francisco, California, which was subsequently amended in </w:t>
      </w:r>
      <w:r>
        <w:rPr>
          <w:rStyle w:val="Emphasis"/>
          <w:rFonts w:ascii="Times New Roman" w:hAnsi="Times New Roman"/>
          <w:caps w:val="false"/>
          <w:smallCaps w:val="false"/>
          <w:sz w:val="20"/>
        </w:rPr>
        <w:t xml:space="preserve">May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2015. </w:t>
      </w:r>
      <w:r>
        <w:rPr>
          <w:rFonts w:ascii="Times New Roman" w:hAnsi="Times New Roman"/>
          <w:caps w:val="false"/>
          <w:smallCaps w:val="false"/>
          <w:sz w:val="20"/>
        </w:rPr>
        <w:t xml:space="preserve">As amended, the Company rents approximately 29,470 square feet. The term of this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with the option to extend for an additional five-year term, and rents payable by the Company increase approximately 3% per year. The Company provided the landlord an automatically renewable stand-by letter of credit in the amount of $1.1 million. The stand-by letter of credit is collateralized by a high-yield savings account, which is classified as restricted cash, current on the accompanying consolidated balance sheets.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 also leases copier equipment for use in the office spaces. Components of copier lease expense include both fixed and variable lease expenses.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Total rent expense 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xml:space="preserve"> was approximately $4.5 million, $4.9 million and $4.9 million, respectively. Fo</w:t>
      </w:r>
      <w:r>
        <w:rPr>
          <w:rFonts w:ascii="Times New Roman" w:hAnsi="Times New Roman"/>
          <w:caps w:val="false"/>
          <w:smallCaps w:val="false"/>
          <w:sz w:val="20"/>
        </w:rPr>
        <w:t>r purposes of determining straig</w:t>
      </w:r>
      <w:r>
        <w:rPr>
          <w:rFonts w:ascii="Times New Roman" w:hAnsi="Times New Roman"/>
          <w:caps w:val="false"/>
          <w:smallCaps w:val="false"/>
          <w:sz w:val="20"/>
          <w:shd w:fill="FFFFFF" w:val="clear"/>
        </w:rPr>
        <w:t>ht-line rent expense,</w:t>
      </w:r>
      <w:r>
        <w:rPr>
          <w:rFonts w:ascii="Times New Roman" w:hAnsi="Times New Roman"/>
          <w:caps w:val="false"/>
          <w:smallCaps w:val="false"/>
          <w:sz w:val="20"/>
        </w:rPr>
        <w:t xml:space="preserve"> the lease term is calculated from the date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takes possession of the facility, including any periods of free rent and any renewal option periods that the Company is reasonably certain of exercising. The Company’s office leases generally have contractually specified minimum rent and annual rent increases that are included in the measurement of the ROU asset and related lease liability. Additionally, under these lease arrangements,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pay directly, or reimburse the lessors, for real estate taxes, insurance, utilities, maintenance and other operating costs. Such amounts are generally variable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the ROU asset and related lease liability but are instead recognized as variable lease expense in selling, general and administrative costs in the consolidated statements of operations when they are incurred. Variable lease payments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lease liabilit</w:t>
      </w:r>
      <w:r>
        <w:rPr>
          <w:rFonts w:ascii="Times New Roman" w:hAnsi="Times New Roman"/>
          <w:caps w:val="false"/>
          <w:smallCaps w:val="false"/>
          <w:sz w:val="20"/>
          <w:shd w:fill="FFFFFF" w:val="clear"/>
        </w:rPr>
        <w:t>y were $0.5 million an</w:t>
      </w:r>
      <w:r>
        <w:rPr>
          <w:rFonts w:ascii="Times New Roman" w:hAnsi="Times New Roman"/>
          <w:caps w:val="false"/>
          <w:smallCaps w:val="false"/>
          <w:sz w:val="20"/>
        </w:rPr>
        <w:t xml:space="preserve">d $0.7 million for the years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future minimum lease payments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555"/>
        <w:gridCol w:w="60"/>
        <w:gridCol w:w="126"/>
        <w:gridCol w:w="554"/>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1,913</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1,248</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1,292</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1,338</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951</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8,127</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2019, </w:t>
      </w:r>
      <w:r>
        <w:rPr>
          <w:rFonts w:ascii="Times New Roman" w:hAnsi="Times New Roman"/>
          <w:caps w:val="false"/>
          <w:smallCaps w:val="false"/>
          <w:sz w:val="20"/>
        </w:rPr>
        <w:t xml:space="preserve">the Company entered into a long-term sublease agreement for 12,429 square feet of the office space in Los Angeles, California. The term of the lease ran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rent amounts payable to the Company increased approximately 3% per year. The </w:t>
      </w:r>
      <w:r>
        <w:rPr>
          <w:rStyle w:val="Emphasis"/>
          <w:rFonts w:ascii="Times New Roman" w:hAnsi="Times New Roman"/>
          <w:caps w:val="false"/>
          <w:smallCaps w:val="false"/>
          <w:sz w:val="20"/>
        </w:rPr>
        <w:t xml:space="preserve">February 2019 </w:t>
      </w:r>
      <w:r>
        <w:rPr>
          <w:rFonts w:ascii="Times New Roman" w:hAnsi="Times New Roman"/>
          <w:caps w:val="false"/>
          <w:smallCaps w:val="false"/>
          <w:sz w:val="20"/>
        </w:rPr>
        <w:t xml:space="preserve">sublease was terminated in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As a result, the Company received $0.7 million, which approximated the sublease rental payments on the remaining lease term. In </w:t>
      </w:r>
      <w:r>
        <w:rPr>
          <w:rStyle w:val="Emphasis"/>
          <w:rFonts w:ascii="Times New Roman" w:hAnsi="Times New Roman"/>
          <w:caps w:val="false"/>
          <w:smallCaps w:val="false"/>
          <w:sz w:val="20"/>
        </w:rPr>
        <w:t xml:space="preserve"> March 2025,</w:t>
      </w:r>
      <w:r>
        <w:rPr>
          <w:rFonts w:ascii="Times New Roman" w:hAnsi="Times New Roman"/>
          <w:caps w:val="false"/>
          <w:smallCaps w:val="false"/>
          <w:sz w:val="20"/>
        </w:rPr>
        <w:t xml:space="preserve"> the Company signed another sublease agreement for the 12,429 square feet of office space with a sublease commencement date of </w:t>
      </w:r>
      <w:r>
        <w:rPr>
          <w:rStyle w:val="Emphasis"/>
          <w:rFonts w:ascii="Times New Roman" w:hAnsi="Times New Roman"/>
          <w:caps w:val="false"/>
          <w:smallCaps w:val="false"/>
          <w:sz w:val="20"/>
        </w:rPr>
        <w:t xml:space="preserve"> April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Company entered into a long-term sublease agreement for 13,916 square feet of the office space in Los Angeles, California, which commenced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term of the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the rent amounts payable to the Company increase approximately 3% per year. The Company has recorded sublease income in other income (expenses) in the condensed consolidated statements of operations since </w:t>
      </w:r>
      <w:r>
        <w:rPr>
          <w:rStyle w:val="Emphasis"/>
          <w:rFonts w:ascii="Times New Roman" w:hAnsi="Times New Roman"/>
          <w:caps w:val="false"/>
          <w:smallCaps w:val="false"/>
          <w:sz w:val="20"/>
        </w:rPr>
        <w:t>November 2023.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The Company recorded operating sublease income of $0.7 million and $1.4 million for the years ended </w:t>
      </w:r>
      <w:r>
        <w:rPr>
          <w:rStyle w:val="Emphasis"/>
          <w:rFonts w:ascii="Times New Roman" w:hAnsi="Times New Roman"/>
          <w:caps w:val="false"/>
          <w:smallCaps w:val="false"/>
          <w:sz w:val="20"/>
          <w:shd w:fill="FFFFFF" w:val="clear"/>
        </w:rPr>
        <w:t xml:space="preserve"> December 31, 2025 </w:t>
      </w:r>
      <w:r>
        <w:rPr>
          <w:rFonts w:ascii="Times New Roman" w:hAnsi="Times New Roman"/>
          <w:caps w:val="false"/>
          <w:smallCaps w:val="false"/>
          <w:sz w:val="20"/>
          <w:shd w:fill="FFFFFF" w:val="clear"/>
        </w:rPr>
        <w:t>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respectively, in other income (expenses)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future minimum lease payments to be received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455"/>
        <w:gridCol w:w="60"/>
        <w:gridCol w:w="239"/>
        <w:gridCol w:w="441"/>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Supplemental cash flow information related to leases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8315"/>
        <w:gridCol w:w="60"/>
        <w:gridCol w:w="125"/>
        <w:gridCol w:w="485"/>
        <w:gridCol w:w="185"/>
      </w:tblGrid>
      <w:tr>
        <w:trPr/>
        <w:tc>
          <w:tcPr>
            <w:tcW w:w="83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cash flow information related to leases for the twelve months ended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83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used for operating leases (in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6,469</w:t>
            </w:r>
          </w:p>
        </w:tc>
        <w:tc>
          <w:tcPr>
            <w:tcW w:w="185" w:type="dxa"/>
            <w:tcBorders/>
            <w:shd w:fill="FFFFFF" w:val="clear"/>
            <w:vAlign w:val="center"/>
          </w:tcPr>
          <w:p>
            <w:pPr>
              <w:pStyle w:val="TableContents"/>
              <w:bidi w:val="0"/>
              <w:spacing w:before="0" w:after="283"/>
              <w:jc w:val="left"/>
              <w:rPr/>
            </w:pPr>
            <w:r>
              <w:rPr/>
              <w:t> </w:t>
            </w:r>
          </w:p>
        </w:tc>
      </w:tr>
      <w:tr>
        <w:trPr/>
        <w:tc>
          <w:tcPr>
            <w:tcW w:w="83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4,123</w:t>
            </w:r>
          </w:p>
        </w:tc>
        <w:tc>
          <w:tcPr>
            <w:tcW w:w="185" w:type="dxa"/>
            <w:tcBorders/>
            <w:shd w:fill="CCEEFF" w:val="clear"/>
            <w:vAlign w:val="center"/>
          </w:tcPr>
          <w:p>
            <w:pPr>
              <w:pStyle w:val="TableContents"/>
              <w:bidi w:val="0"/>
              <w:spacing w:before="0" w:after="283"/>
              <w:jc w:val="left"/>
              <w:rPr/>
            </w:pPr>
            <w:r>
              <w:rPr/>
              <w:t> </w:t>
            </w:r>
          </w:p>
        </w:tc>
      </w:tr>
      <w:tr>
        <w:trPr/>
        <w:tc>
          <w:tcPr>
            <w:tcW w:w="83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pPr>
            <w:r>
              <w:rPr/>
              <w:t> </w:t>
            </w:r>
          </w:p>
        </w:tc>
      </w:tr>
      <w:tr>
        <w:trPr/>
        <w:tc>
          <w:tcPr>
            <w:tcW w:w="83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7—Intangible</w:t>
      </w:r>
      <w:r>
        <w:rPr>
          <w:rFonts w:ascii="Times New Roman;Times;serif" w:hAnsi="Times New Roman;Times;serif"/>
          <w:b/>
          <w:sz w:val="20"/>
        </w:rPr>
        <w:t xml:space="preser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Intangible assets consisted of the following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098" w:type="dxa"/>
        <w:jc w:val="left"/>
        <w:tblInd w:w="0" w:type="dxa"/>
        <w:tblLayout w:type="fixed"/>
        <w:tblCellMar>
          <w:top w:w="0" w:type="dxa"/>
          <w:left w:w="0" w:type="dxa"/>
          <w:bottom w:w="0" w:type="dxa"/>
          <w:right w:w="0" w:type="dxa"/>
        </w:tblCellMar>
      </w:tblPr>
      <w:tblGrid>
        <w:gridCol w:w="2600"/>
        <w:gridCol w:w="60"/>
        <w:gridCol w:w="243"/>
        <w:gridCol w:w="1366"/>
        <w:gridCol w:w="80"/>
        <w:gridCol w:w="60"/>
        <w:gridCol w:w="243"/>
        <w:gridCol w:w="1366"/>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and in-licensed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51,131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Estimated future intangible amortization expense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1365" w:type="dxa"/>
        <w:jc w:val="left"/>
        <w:tblInd w:w="0" w:type="dxa"/>
        <w:tblLayout w:type="fixed"/>
        <w:tblCellMar>
          <w:top w:w="0" w:type="dxa"/>
          <w:left w:w="0" w:type="dxa"/>
          <w:bottom w:w="0" w:type="dxa"/>
          <w:right w:w="0" w:type="dxa"/>
        </w:tblCellMar>
      </w:tblPr>
      <w:tblGrid>
        <w:gridCol w:w="530"/>
        <w:gridCol w:w="60"/>
        <w:gridCol w:w="125"/>
        <w:gridCol w:w="590"/>
        <w:gridCol w:w="60"/>
      </w:tblGrid>
      <w:tr>
        <w:trPr/>
        <w:tc>
          <w:tcPr>
            <w:tcW w:w="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9,739</w:t>
            </w:r>
          </w:p>
        </w:tc>
        <w:tc>
          <w:tcPr>
            <w:tcW w:w="6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9,739</w:t>
            </w:r>
          </w:p>
        </w:tc>
        <w:tc>
          <w:tcPr>
            <w:tcW w:w="6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9,739</w:t>
            </w:r>
          </w:p>
        </w:tc>
        <w:tc>
          <w:tcPr>
            <w:tcW w:w="6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9,739</w:t>
            </w:r>
          </w:p>
        </w:tc>
        <w:tc>
          <w:tcPr>
            <w:tcW w:w="6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w:t>
            </w:r>
          </w:p>
        </w:tc>
        <w:tc>
          <w:tcPr>
            <w:tcW w:w="6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8—Accrued</w:t>
      </w:r>
      <w:r>
        <w:rPr>
          <w:rFonts w:ascii="Times New Roman" w:hAnsi="Times New Roman"/>
          <w:b/>
          <w:caps w:val="false"/>
          <w:smallCaps w:val="false"/>
          <w:sz w:val="20"/>
        </w:rPr>
        <w:t xml:space="preser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Accrued expenses consisted of the following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388" w:type="dxa"/>
        <w:jc w:val="left"/>
        <w:tblInd w:w="0" w:type="dxa"/>
        <w:tblLayout w:type="fixed"/>
        <w:tblCellMar>
          <w:top w:w="0" w:type="dxa"/>
          <w:left w:w="0" w:type="dxa"/>
          <w:bottom w:w="0" w:type="dxa"/>
          <w:right w:w="0" w:type="dxa"/>
        </w:tblCellMar>
      </w:tblPr>
      <w:tblGrid>
        <w:gridCol w:w="2930"/>
        <w:gridCol w:w="60"/>
        <w:gridCol w:w="280"/>
        <w:gridCol w:w="1329"/>
        <w:gridCol w:w="60"/>
        <w:gridCol w:w="60"/>
        <w:gridCol w:w="280"/>
        <w:gridCol w:w="1329"/>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CRO services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variable consideration</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bonus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7,976</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4,368</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other clinical development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legal fees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manufacturing costs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36,898</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other liabilities</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Accrued variable consideration represents estimates of adjustments to product revenue, net for which reserves are established. Accrued royalties represent royalties incurred in connection with the Company’s license agreement with Pfizer. Accrued CRO services, accrued other clinical development expenses, and accrued legal fees represent the Company’s estimates of such costs and are recognized as incurred. Accrued compensation includes severance, commissions and vacation.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Long-term debt consisted of the following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204" w:type="dxa"/>
        <w:jc w:val="left"/>
        <w:tblInd w:w="0" w:type="dxa"/>
        <w:tblLayout w:type="fixed"/>
        <w:tblCellMar>
          <w:top w:w="0" w:type="dxa"/>
          <w:left w:w="0" w:type="dxa"/>
          <w:bottom w:w="0" w:type="dxa"/>
          <w:right w:w="0" w:type="dxa"/>
        </w:tblCellMar>
      </w:tblPr>
      <w:tblGrid>
        <w:gridCol w:w="4265"/>
        <w:gridCol w:w="60"/>
        <w:gridCol w:w="243"/>
        <w:gridCol w:w="1366"/>
        <w:gridCol w:w="80"/>
        <w:gridCol w:w="119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 Date</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 inclusive of $2.0 million exit payment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102,000</w:t>
            </w:r>
          </w:p>
        </w:tc>
        <w:tc>
          <w:tcPr>
            <w:tcW w:w="80"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23, 2026</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unamortized debt issuance costs and discounts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283"/>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(22,523</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jc w:val="left"/>
              <w:rPr/>
            </w:pPr>
            <w:r>
              <w:rPr>
                <w:rStyle w:val="Emphasis"/>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debt repayment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(79,325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283"/>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Athyrium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issued senior notes for an aggregate principal amount of $100.0 million pursuant to a note purchase agreement dated </w:t>
      </w:r>
      <w:r>
        <w:rPr>
          <w:rStyle w:val="Emphasis"/>
          <w:rFonts w:ascii="Times New Roman" w:hAnsi="Times New Roman"/>
          <w:caps w:val="false"/>
          <w:smallCaps w:val="false"/>
          <w:sz w:val="20"/>
        </w:rPr>
        <w:t>July 23, 2021 </w:t>
      </w:r>
      <w:r>
        <w:rPr>
          <w:rFonts w:ascii="Times New Roman" w:hAnsi="Times New Roman"/>
          <w:caps w:val="false"/>
          <w:smallCaps w:val="false"/>
          <w:sz w:val="20"/>
        </w:rPr>
        <w:t xml:space="preserve">by the Company, and its subsidiary, and Athyrium, as Administrative Agent, and certain other investor parties (the “Note Purchase Agreement”), with an initial maturity date of </w:t>
      </w:r>
      <w:r>
        <w:rPr>
          <w:rStyle w:val="Emphasis"/>
          <w:rFonts w:ascii="Times New Roman" w:hAnsi="Times New Roman"/>
          <w:caps w:val="false"/>
          <w:smallCaps w:val="false"/>
          <w:sz w:val="20"/>
        </w:rPr>
        <w:t>July 23, 2026 (</w:t>
      </w:r>
      <w:r>
        <w:rPr>
          <w:rFonts w:ascii="Times New Roman" w:hAnsi="Times New Roman"/>
          <w:caps w:val="false"/>
          <w:smallCaps w:val="false"/>
          <w:sz w:val="20"/>
        </w:rPr>
        <w:t>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the Company’s outstanding indebtedness, including the applicable exit and prepayment fees owed to lenders under its prior credit facility with Oxford. The Athyrium Notes are secured by substantially all of the Company’s assets. The Company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Note Purchase Agreement dated as of </w:t>
      </w:r>
      <w:r>
        <w:rPr>
          <w:rStyle w:val="Emphasis"/>
          <w:rFonts w:ascii="Times New Roman" w:hAnsi="Times New Roman"/>
          <w:caps w:val="false"/>
          <w:smallCaps w:val="false"/>
          <w:sz w:val="20"/>
        </w:rPr>
        <w:t xml:space="preserve"> September 16, 2022. (</w:t>
      </w:r>
      <w:r>
        <w:rPr>
          <w:rFonts w:ascii="Times New Roman" w:hAnsi="Times New Roman"/>
          <w:caps w:val="false"/>
          <w:smallCaps w:val="false"/>
          <w:sz w:val="20"/>
        </w:rPr>
        <w:t xml:space="preserve">the “Third Amendment”). The modification of the Note Purchase Agreement pursuant to the Third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requirements of a debt extinguishment under ASC 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 </w:t>
      </w:r>
      <w:r>
        <w:rPr>
          <w:rFonts w:ascii="Times New Roman" w:hAnsi="Times New Roman"/>
          <w:i/>
          <w:caps w:val="false"/>
          <w:smallCaps w:val="false"/>
          <w:sz w:val="20"/>
        </w:rPr>
        <w:t>Debt Modifications and Exchanges</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was recognized. The Company performed a quantitative analysis and determined that the terms of the new debt and original debt instrument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substantially different. Accordingly, the Third Amendment is accounted for as a debt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Following the effectiveness of the Third Amendment, the Athyrium Notes bear interest at an annual rate equal to the sum of (a)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percent (8.00%) plus (b) the lesser of (i) the sum of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term SOFR for an interest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plus (y) 0.26161% (26.161 basis points) and (ii)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-half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percent (3.50%) per annum. Interest is payable quarterly on the last business day of </w:t>
      </w:r>
      <w:r>
        <w:rPr>
          <w:rStyle w:val="Emphasis"/>
          <w:rFonts w:ascii="Times New Roman" w:hAnsi="Times New Roman"/>
          <w:caps w:val="false"/>
          <w:smallCaps w:val="false"/>
          <w:sz w:val="20"/>
        </w:rPr>
        <w:t xml:space="preserve">March, June, September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each year.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effective interest rate for the loan was 12.99%. The carrying amounts of the Company’s debt approximate fair value because of the short</w:t>
        <w:noBreakHyphen/>
        <w:t>term nature and near</w:t>
        <w:noBreakHyphen/>
        <w:t>term maturity of the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prepay the outstanding principal balance of the notes, in whole or in part, without premium or penalty.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Athyrium Notes include affirmative and negative covenants applicable to the Company. The affirmative covenants include, among others, covenants requiring the Company to maintain its legal existence and governmental approvals, deliver certain financial reports, maintain insurance coverage, and satisfy certain requirements regarding deposit accounts. The negative covenants include, among others, restrictions on the Company’s transferring collateral, incurring additional indebtedness, engaging in mergers or acquisitions, paying dividends or making other distributions, making investments, creating liens, selling assets and suffering a change in control, in each case subject to certain exceptions. The Company is also required to maintain minimum cash balances and achieve certain minimum product revenue targets, measured as of the last day of each fiscal quarter on a trailing year-to-date basis.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the Company was in compliance with such covenants.</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principal balance outstanding under the Athyrium Notes w</w:t>
      </w:r>
      <w:r>
        <w:rPr>
          <w:rFonts w:ascii="Times New Roman" w:hAnsi="Times New Roman"/>
          <w:caps w:val="false"/>
          <w:smallCaps w:val="false"/>
          <w:sz w:val="20"/>
          <w:shd w:fill="FFFFFF" w:val="clear"/>
        </w:rPr>
        <w:t>as $22.5 million, r</w:t>
      </w:r>
      <w:r>
        <w:rPr>
          <w:rFonts w:ascii="Times New Roman" w:hAnsi="Times New Roman"/>
          <w:caps w:val="false"/>
          <w:smallCaps w:val="false"/>
          <w:sz w:val="20"/>
        </w:rPr>
        <w:t>epresenting all of the Company’s debt.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future minimum principal and exit payments under the Athyrium Notes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290" w:type="dxa"/>
        <w:jc w:val="left"/>
        <w:tblInd w:w="0" w:type="dxa"/>
        <w:tblLayout w:type="fixed"/>
        <w:tblCellMar>
          <w:top w:w="0" w:type="dxa"/>
          <w:left w:w="0" w:type="dxa"/>
          <w:bottom w:w="0" w:type="dxa"/>
          <w:right w:w="0" w:type="dxa"/>
        </w:tblCellMar>
      </w:tblPr>
      <w:tblGrid>
        <w:gridCol w:w="455"/>
        <w:gridCol w:w="60"/>
        <w:gridCol w:w="125"/>
        <w:gridCol w:w="590"/>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22,675</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 Issuance Costs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Debt issuance costs and discounts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748" w:type="dxa"/>
        <w:jc w:val="left"/>
        <w:tblInd w:w="0" w:type="dxa"/>
        <w:tblLayout w:type="fixed"/>
        <w:tblCellMar>
          <w:top w:w="0" w:type="dxa"/>
          <w:left w:w="0" w:type="dxa"/>
          <w:bottom w:w="0" w:type="dxa"/>
          <w:right w:w="0" w:type="dxa"/>
        </w:tblCellMar>
      </w:tblPr>
      <w:tblGrid>
        <w:gridCol w:w="4235"/>
        <w:gridCol w:w="60"/>
        <w:gridCol w:w="299"/>
        <w:gridCol w:w="1310"/>
        <w:gridCol w:w="80"/>
        <w:gridCol w:w="60"/>
        <w:gridCol w:w="299"/>
        <w:gridCol w:w="1310"/>
        <w:gridCol w:w="95"/>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and discounts (Athyrium Notes)</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5,410</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current portion of debt</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Debt issuance costs and discounts are financing costs related to the Company’s outstanding debt. Amortization of debt issuance costs is expensed using the effective interest method and is included in interest expense in the consolidated statements of operations.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 recorded app</w:t>
      </w:r>
      <w:r>
        <w:rPr>
          <w:rFonts w:ascii="Times New Roman" w:hAnsi="Times New Roman"/>
          <w:caps w:val="false"/>
          <w:smallCaps w:val="false"/>
          <w:sz w:val="20"/>
          <w:shd w:fill="FFFFFF" w:val="clear"/>
        </w:rPr>
        <w:t>roximately $0.8 million, $1.4 million and $1.3 million, respe</w:t>
      </w:r>
      <w:r>
        <w:rPr>
          <w:rFonts w:ascii="Times New Roman" w:hAnsi="Times New Roman"/>
          <w:caps w:val="false"/>
          <w:smallCaps w:val="false"/>
          <w:sz w:val="20"/>
        </w:rPr>
        <w:t>ctively, of interest expense related to the amortization of debt issuance costs, discounts and exit fees in the consolidated statements of operations.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10—Stockholders’</w:t>
      </w:r>
      <w:r>
        <w:rPr>
          <w:rFonts w:ascii="Times New Roman" w:hAnsi="Times New Roman"/>
          <w:b/>
          <w:caps w:val="false"/>
          <w:smallCaps w:val="false"/>
          <w:sz w:val="20"/>
        </w:rPr>
        <w:t xml:space="preserve">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w:t>
      </w:r>
      <w:r>
        <w:rPr>
          <w:rFonts w:ascii="Times New Roman" w:hAnsi="Times New Roman"/>
          <w:caps w:val="false"/>
          <w:smallCaps w:val="false"/>
          <w:sz w:val="20"/>
          <w:shd w:fill="FFFFFF" w:val="clear"/>
        </w:rPr>
        <w:t>y issued 55,882 and 64,118</w:t>
      </w:r>
      <w:r>
        <w:rPr>
          <w:rFonts w:ascii="Times New Roman" w:hAnsi="Times New Roman"/>
          <w:caps w:val="false"/>
          <w:smallCaps w:val="false"/>
          <w:sz w:val="20"/>
        </w:rPr>
        <w:t xml:space="preserve"> shares of common stock upon exercise of stock options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Company did not issue any shares of common stock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issued 1,246,307, 1,394,929 and 1,301,127 shares of common stock upon vesting of RSUs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Company has 100,000,000 shares of stock authorized for issuance, all of which are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2011, </w:t>
      </w:r>
      <w:r>
        <w:rPr>
          <w:rFonts w:ascii="Times New Roman" w:hAnsi="Times New Roman"/>
          <w:caps w:val="false"/>
          <w:smallCaps w:val="false"/>
          <w:sz w:val="20"/>
        </w:rPr>
        <w:t>the Company issued an anti-dilutive warrant to Alan H. Auerbach, the Company's Founder and Chief Executive Officer. The warrant was issued to provide Mr. Auerbach with the right to maintain ownership of at least 20% of the Company’s common stock in the event that the Company raised capital through the sale of its securities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connection with the closing of a public offering in </w:t>
      </w:r>
      <w:r>
        <w:rPr>
          <w:rStyle w:val="Emphasis"/>
          <w:rFonts w:ascii="Times New Roman" w:hAnsi="Times New Roman"/>
          <w:caps w:val="false"/>
          <w:smallCaps w:val="false"/>
          <w:sz w:val="20"/>
        </w:rPr>
        <w:t xml:space="preserve">October 2012, </w:t>
      </w:r>
      <w:r>
        <w:rPr>
          <w:rFonts w:ascii="Times New Roman" w:hAnsi="Times New Roman"/>
          <w:caps w:val="false"/>
          <w:smallCaps w:val="false"/>
          <w:sz w:val="20"/>
        </w:rPr>
        <w:t xml:space="preserve">the exercise price and number of shares underlying the warrant issued to Mr. Auerbach were established and, accordingly, the final value of the warrant became fixed. Pursuant to the terms of the warrant, Mr. Auerbach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exercise the warrant to acquire 2,116,250 shares of the Company’s common stock at $16 per share until </w:t>
      </w:r>
      <w:r>
        <w:rPr>
          <w:rStyle w:val="Emphasis"/>
          <w:rFonts w:ascii="Times New Roman" w:hAnsi="Times New Roman"/>
          <w:caps w:val="false"/>
          <w:smallCaps w:val="false"/>
          <w:sz w:val="20"/>
        </w:rPr>
        <w:t>October 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the Company's Board of Directors approved an amendment to the terms of the warrant by extending the term until </w:t>
      </w:r>
      <w:r>
        <w:rPr>
          <w:rStyle w:val="Emphasis"/>
          <w:rFonts w:ascii="Times New Roman" w:hAnsi="Times New Roman"/>
          <w:caps w:val="false"/>
          <w:smallCaps w:val="false"/>
          <w:sz w:val="20"/>
        </w:rPr>
        <w:t xml:space="preserve">October 4, 2026. </w:t>
      </w:r>
      <w:r>
        <w:rPr>
          <w:rFonts w:ascii="Times New Roman" w:hAnsi="Times New Roman"/>
          <w:caps w:val="false"/>
          <w:smallCaps w:val="false"/>
          <w:sz w:val="20"/>
        </w:rPr>
        <w:t xml:space="preserve">The amendment was approved by the Company's stockholders on </w:t>
      </w:r>
      <w:r>
        <w:rPr>
          <w:rStyle w:val="Emphasis"/>
          <w:rFonts w:ascii="Times New Roman" w:hAnsi="Times New Roman"/>
          <w:caps w:val="false"/>
          <w:smallCaps w:val="false"/>
          <w:sz w:val="20"/>
        </w:rPr>
        <w:t>June 15, 2021.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Stock Options and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Incentive Award Plan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as amended, was adopted by the Company’s Board of Directors on </w:t>
      </w:r>
      <w:r>
        <w:rPr>
          <w:rStyle w:val="Emphasis"/>
          <w:rFonts w:ascii="Times New Roman" w:hAnsi="Times New Roman"/>
          <w:caps w:val="false"/>
          <w:smallCaps w:val="false"/>
          <w:sz w:val="20"/>
        </w:rPr>
        <w:t>September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Pursuant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incentive stock options and nonqualified stock options, as well as other forms of equity-based compensation. Incentive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only to employees, while consultants, employees, officers and directors are eligible for the grant of nonqualified options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maximum term of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is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years and the awards generally vest over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The exercise price of incentive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must be at least equal to the fair value of such shares on the date of grant. 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the Board of Directors adopted an amendment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to increase the number of shares of the Company's common stock reserved for issuance thereunder by 2,000,000 shares. The amendment was approved by the Company's stockholders on </w:t>
      </w:r>
      <w:r>
        <w:rPr>
          <w:rStyle w:val="Emphasis"/>
          <w:rFonts w:ascii="Times New Roman" w:hAnsi="Times New Roman"/>
          <w:caps w:val="false"/>
          <w:smallCaps w:val="false"/>
          <w:sz w:val="20"/>
        </w:rPr>
        <w:t xml:space="preserve">June 15, 2021.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18, 2024, </w:t>
      </w:r>
      <w:r>
        <w:rPr>
          <w:rFonts w:ascii="Times New Roman" w:hAnsi="Times New Roman"/>
          <w:caps w:val="false"/>
          <w:smallCaps w:val="false"/>
          <w:sz w:val="20"/>
        </w:rPr>
        <w:t>the stockholders of the Company approved an amendment to the Company’s </w:t>
      </w:r>
      <w:r>
        <w:rPr>
          <w:rStyle w:val="Emphasis"/>
          <w:rFonts w:ascii="Times New Roman" w:hAnsi="Times New Roman"/>
          <w:caps w:val="false"/>
          <w:smallCaps w:val="false"/>
          <w:sz w:val="20"/>
        </w:rPr>
        <w:t>2011</w:t>
      </w:r>
      <w:r>
        <w:rPr>
          <w:rFonts w:ascii="Times New Roman" w:hAnsi="Times New Roman"/>
          <w:caps w:val="false"/>
          <w:smallCaps w:val="false"/>
          <w:sz w:val="20"/>
        </w:rPr>
        <w:t> Plan, increasing the number of authorized shares of the Company’s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become issuable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Plan by 3,000,000 shares and extending the period during which incentive stock options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granted.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 total of 17,529,412 shares of the Company’s common stock have been reserved for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All of the options awarded by the Company have been “plain vanilla options” as determined by the SEC Staff Accounting Bulletin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 </w:t>
      </w:r>
      <w:r>
        <w:rPr>
          <w:rFonts w:ascii="Times New Roman" w:hAnsi="Times New Roman"/>
          <w:i/>
          <w:caps w:val="false"/>
          <w:smallCaps w:val="false"/>
          <w:sz w:val="20"/>
        </w:rPr>
        <w:t>Share Based Payment.</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4,157,795 shares of the Company’s common stock are issuable upon the exercise of outstanding stock options and vesting RSUs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3,668,856</w:t>
      </w:r>
      <w:r>
        <w:rPr>
          <w:rFonts w:ascii="Times New Roman" w:hAnsi="Times New Roman"/>
          <w:caps w:val="false"/>
          <w:smallCaps w:val="false"/>
          <w:sz w:val="20"/>
          <w:shd w:fill="FFFFFF" w:val="clear"/>
        </w:rPr>
        <w:t> s</w:t>
      </w:r>
      <w:r>
        <w:rPr>
          <w:rFonts w:ascii="Times New Roman" w:hAnsi="Times New Roman"/>
          <w:caps w:val="false"/>
          <w:smallCaps w:val="false"/>
          <w:sz w:val="20"/>
        </w:rPr>
        <w:t xml:space="preserve">hares of the Company’s common stock are available for future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fair value of options granted to employees and non-employees was estimated using the Black-Scholes Option Pricing Method (see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 with the following weighted-average assumptions used during the years ended </w:t>
      </w:r>
      <w:r>
        <w:rPr>
          <w:rStyle w:val="Emphasis"/>
          <w:rFonts w:ascii="Times New Roman" w:hAnsi="Times New Roman"/>
          <w:caps w:val="false"/>
          <w:smallCaps w:val="false"/>
          <w:sz w:val="20"/>
        </w:rPr>
        <w:t>December 31:</w:t>
      </w:r>
    </w:p>
    <w:p>
      <w:pPr>
        <w:pStyle w:val="TextBody"/>
        <w:bidi w:val="0"/>
        <w:spacing w:before="0" w:after="0"/>
        <w:ind w:left="0" w:right="0" w:firstLine="56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790"/>
        <w:gridCol w:w="60"/>
        <w:gridCol w:w="60"/>
        <w:gridCol w:w="380"/>
        <w:gridCol w:w="185"/>
        <w:gridCol w:w="60"/>
        <w:gridCol w:w="60"/>
        <w:gridCol w:w="380"/>
        <w:gridCol w:w="200"/>
      </w:tblGrid>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Employment Inducement Incentive Award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as amended, was adopted by the Company’s Board of Directors on </w:t>
      </w:r>
      <w:r>
        <w:rPr>
          <w:rStyle w:val="Emphasis"/>
          <w:rFonts w:ascii="Times New Roman" w:hAnsi="Times New Roman"/>
          <w:caps w:val="false"/>
          <w:smallCaps w:val="false"/>
          <w:sz w:val="20"/>
        </w:rPr>
        <w:t>April 27,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stock options and RSUs, as well as other forms of equity-based compensation to employees, as an inducement to join the Company. The maximum term of stock options granted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10 years and the awards generally vest over a three-year period. The exercise price of stock options granted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must be at least equal to the fair market value of such shares on the date of grant. On </w:t>
      </w:r>
      <w:r>
        <w:rPr>
          <w:rStyle w:val="Emphasis"/>
          <w:rFonts w:ascii="Times New Roman" w:hAnsi="Times New Roman"/>
          <w:caps w:val="false"/>
          <w:smallCaps w:val="false"/>
          <w:sz w:val="20"/>
        </w:rPr>
        <w:t xml:space="preserve">July 15, 2021, </w:t>
      </w:r>
      <w:r>
        <w:rPr>
          <w:rFonts w:ascii="Times New Roman" w:hAnsi="Times New Roman"/>
          <w:caps w:val="false"/>
          <w:smallCaps w:val="false"/>
          <w:sz w:val="20"/>
        </w:rPr>
        <w:t xml:space="preserve">the Board of Directors adopted an amendment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to increase the number of shares of the Company's common stock reserved for issuance thereunder by 1,000,000 shares.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 total of 3,000,000 shares of the Company’s common stock have been reserved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394,467 shares of the Company’s common stock are issuable upon the exercise of outstanding stock options and vesting of RSUs granted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1,306,714 shares of the Company’s common stock are available for future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Stock-based compensation expense was as follows for the years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635"/>
        <w:gridCol w:w="60"/>
        <w:gridCol w:w="125"/>
        <w:gridCol w:w="485"/>
        <w:gridCol w:w="60"/>
        <w:gridCol w:w="60"/>
        <w:gridCol w:w="125"/>
        <w:gridCol w:w="485"/>
        <w:gridCol w:w="60"/>
        <w:gridCol w:w="60"/>
        <w:gridCol w:w="125"/>
        <w:gridCol w:w="590"/>
        <w:gridCol w:w="75"/>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jc w:val="left"/>
              <w:rPr/>
            </w:pPr>
            <w:r>
              <w:rPr/>
              <w:t> </w:t>
            </w:r>
          </w:p>
        </w:tc>
      </w:tr>
      <w:tr>
        <w:trPr/>
        <w:tc>
          <w:tcPr>
            <w:tcW w:w="3635" w:type="dxa"/>
            <w:tcBorders/>
            <w:shd w:fill="CCEE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2,728</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Stock Option Roll Forward</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Activity with respect to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summarized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3"/>
        <w:gridCol w:w="60"/>
        <w:gridCol w:w="60"/>
        <w:gridCol w:w="905"/>
        <w:gridCol w:w="80"/>
        <w:gridCol w:w="60"/>
        <w:gridCol w:w="346"/>
        <w:gridCol w:w="1346"/>
        <w:gridCol w:w="60"/>
        <w:gridCol w:w="60"/>
        <w:gridCol w:w="469"/>
        <w:gridCol w:w="2158"/>
        <w:gridCol w:w="60"/>
        <w:gridCol w:w="60"/>
        <w:gridCol w:w="409"/>
        <w:gridCol w:w="1591"/>
        <w:gridCol w:w="78"/>
      </w:tblGrid>
      <w:tr>
        <w:trPr/>
        <w:tc>
          <w:tcPr>
            <w:tcW w:w="2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 Intrinsic Value (in thousands)</w:t>
            </w:r>
          </w:p>
        </w:tc>
        <w:tc>
          <w:tcPr>
            <w:tcW w:w="78"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4,051,928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215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r>
      <w:tr>
        <w:trPr/>
        <w:tc>
          <w:tcPr>
            <w:tcW w:w="240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215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215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ind w:left="0" w:right="0" w:hanging="0"/>
              <w:jc w:val="left"/>
              <w:rPr/>
            </w:pPr>
            <w:r>
              <w:rPr/>
              <w:t> </w:t>
            </w:r>
          </w:p>
        </w:tc>
      </w:tr>
      <w:tr>
        <w:trPr/>
        <w:tc>
          <w:tcPr>
            <w:tcW w:w="240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46" w:type="dxa"/>
            <w:tcBorders/>
            <w:shd w:fill="FFFFFF" w:val="clear"/>
            <w:vAlign w:val="center"/>
          </w:tcPr>
          <w:p>
            <w:pPr>
              <w:pStyle w:val="TableContents"/>
              <w:bidi w:val="0"/>
              <w:spacing w:before="0" w:after="0"/>
              <w:ind w:left="0" w:right="0" w:hanging="0"/>
              <w:jc w:val="left"/>
              <w:rPr/>
            </w:pPr>
            <w:r>
              <w:rPr/>
              <w:t> </w:t>
            </w:r>
          </w:p>
        </w:tc>
        <w:tc>
          <w:tcPr>
            <w:tcW w:w="134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9" w:type="dxa"/>
            <w:tcBorders/>
            <w:shd w:fill="FFFFFF" w:val="clear"/>
            <w:vAlign w:val="center"/>
          </w:tcPr>
          <w:p>
            <w:pPr>
              <w:pStyle w:val="TableContents"/>
              <w:bidi w:val="0"/>
              <w:spacing w:before="0" w:after="0"/>
              <w:ind w:left="0" w:right="0" w:hanging="0"/>
              <w:jc w:val="left"/>
              <w:rPr/>
            </w:pPr>
            <w:r>
              <w:rPr/>
              <w:t> </w:t>
            </w:r>
          </w:p>
        </w:tc>
        <w:tc>
          <w:tcPr>
            <w:tcW w:w="2158"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9" w:type="dxa"/>
            <w:tcBorders/>
            <w:shd w:fill="FFFFFF" w:val="clear"/>
            <w:vAlign w:val="center"/>
          </w:tcPr>
          <w:p>
            <w:pPr>
              <w:pStyle w:val="TableContents"/>
              <w:bidi w:val="0"/>
              <w:spacing w:before="0" w:after="0"/>
              <w:ind w:left="0" w:right="0" w:hanging="0"/>
              <w:jc w:val="left"/>
              <w:rPr/>
            </w:pPr>
            <w:r>
              <w:rPr/>
              <w:t> </w:t>
            </w:r>
          </w:p>
        </w:tc>
        <w:tc>
          <w:tcPr>
            <w:tcW w:w="1591" w:type="dxa"/>
            <w:tcBorders/>
            <w:shd w:fill="FFFFFF" w:val="clear"/>
            <w:vAlign w:val="center"/>
          </w:tcPr>
          <w:p>
            <w:pPr>
              <w:pStyle w:val="TableContents"/>
              <w:bidi w:val="0"/>
              <w:spacing w:before="0" w:after="0"/>
              <w:ind w:left="0" w:right="0" w:hanging="0"/>
              <w:jc w:val="right"/>
              <w:rPr/>
            </w:pPr>
            <w:r>
              <w:rPr>
                <w:rStyle w:val="Emphasis"/>
              </w:rPr>
              <w:t> </w:t>
            </w:r>
          </w:p>
        </w:tc>
        <w:tc>
          <w:tcPr>
            <w:tcW w:w="78" w:type="dxa"/>
            <w:tcBorders/>
            <w:shd w:fill="FFFFFF" w:val="clear"/>
            <w:vAlign w:val="center"/>
          </w:tcPr>
          <w:p>
            <w:pPr>
              <w:pStyle w:val="TableContents"/>
              <w:bidi w:val="0"/>
              <w:spacing w:before="0" w:after="0"/>
              <w:ind w:left="0" w:right="0" w:hanging="0"/>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(1,186,317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78" w:type="dxa"/>
            <w:tcBorders/>
            <w:shd w:fill="CCEEFF" w:val="clear"/>
            <w:vAlign w:val="center"/>
          </w:tcPr>
          <w:p>
            <w:pPr>
              <w:pStyle w:val="TableContents"/>
              <w:bidi w:val="0"/>
              <w:spacing w:before="0" w:after="0"/>
              <w:jc w:val="left"/>
              <w:rPr/>
            </w:pPr>
            <w:r>
              <w:rPr/>
              <w:t> </w:t>
            </w:r>
          </w:p>
        </w:tc>
      </w:tr>
      <w:tr>
        <w:trPr/>
        <w:tc>
          <w:tcPr>
            <w:tcW w:w="240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3,217,289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21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3,609</w:t>
            </w:r>
          </w:p>
        </w:tc>
        <w:tc>
          <w:tcPr>
            <w:tcW w:w="78" w:type="dxa"/>
            <w:tcBorders/>
            <w:shd w:fill="FFFFFF" w:val="clear"/>
            <w:vAlign w:val="center"/>
          </w:tcPr>
          <w:p>
            <w:pPr>
              <w:pStyle w:val="TableContents"/>
              <w:bidi w:val="0"/>
              <w:spacing w:before="0" w:after="283"/>
              <w:jc w:val="left"/>
              <w:rPr/>
            </w:pPr>
            <w:r>
              <w:rPr/>
              <w:t> </w:t>
            </w:r>
          </w:p>
        </w:tc>
      </w:tr>
      <w:tr>
        <w:trPr/>
        <w:tc>
          <w:tcPr>
            <w:tcW w:w="24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w:t>
            </w:r>
          </w:p>
        </w:tc>
        <w:tc>
          <w:tcPr>
            <w:tcW w:w="78" w:type="dxa"/>
            <w:tcBorders/>
            <w:shd w:fill="CCEEFF" w:val="clear"/>
            <w:vAlign w:val="center"/>
          </w:tcPr>
          <w:p>
            <w:pPr>
              <w:pStyle w:val="TableContents"/>
              <w:bidi w:val="0"/>
              <w:spacing w:before="0" w:after="283"/>
              <w:ind w:left="0" w:right="0" w:hanging="0"/>
              <w:jc w:val="left"/>
              <w:rPr/>
            </w:pPr>
            <w:r>
              <w:rPr/>
              <w:t> </w:t>
            </w:r>
          </w:p>
        </w:tc>
      </w:tr>
      <w:tr>
        <w:trPr/>
        <w:tc>
          <w:tcPr>
            <w:tcW w:w="24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ind w:left="0" w:right="0" w:hanging="0"/>
              <w:jc w:val="left"/>
              <w:rPr/>
            </w:pPr>
            <w:r>
              <w:rPr/>
              <w:t> </w:t>
            </w:r>
          </w:p>
        </w:tc>
        <w:tc>
          <w:tcPr>
            <w:tcW w:w="21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total estimated unrecognized compensation cost related to non-vested stock options granted prior to that date was approximately $0.4 million, which is expected to be recognized over a weighted-average period of 1.1 years.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total estimated unrecognized compensation cost related to non-vested RSUs was approximately $2.5 million, which is expected to be recognized over a weighted-a</w:t>
      </w:r>
      <w:r>
        <w:rPr>
          <w:rFonts w:ascii="Times New Roman" w:hAnsi="Times New Roman"/>
          <w:caps w:val="false"/>
          <w:smallCaps w:val="false"/>
          <w:sz w:val="20"/>
          <w:shd w:fill="FFFFFF" w:val="clear"/>
        </w:rPr>
        <w:t>verage period of </w:t>
      </w:r>
      <w:r>
        <w:rPr>
          <w:rFonts w:ascii="Times New Roman" w:hAnsi="Times New Roman"/>
          <w:caps w:val="false"/>
          <w:smallCaps w:val="false"/>
          <w:sz w:val="20"/>
        </w:rPr>
        <w:t>1.3 years</w:t>
      </w:r>
      <w:r>
        <w:rPr>
          <w:rFonts w:ascii="Times New Roman" w:hAnsi="Times New Roman"/>
          <w:caps w:val="false"/>
          <w:smallCaps w:val="false"/>
          <w:sz w:val="20"/>
          <w:shd w:fill="FFFFFF" w:val="clear"/>
        </w:rPr>
        <w:t>. The wei</w:t>
      </w:r>
      <w:r>
        <w:rPr>
          <w:rFonts w:ascii="Times New Roman" w:hAnsi="Times New Roman"/>
          <w:caps w:val="false"/>
          <w:smallCaps w:val="false"/>
          <w:sz w:val="20"/>
        </w:rPr>
        <w:t>ghted-average grant date fair value of options granted during th</w:t>
      </w:r>
      <w:r>
        <w:rPr>
          <w:rFonts w:ascii="Times New Roman" w:hAnsi="Times New Roman"/>
          <w:caps w:val="false"/>
          <w:smallCaps w:val="false"/>
          <w:sz w:val="20"/>
          <w:shd w:fill="FFFFFF" w:val="clear"/>
        </w:rPr>
        <w:t xml:space="preserve">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xml:space="preserve">, was </w:t>
      </w:r>
      <w:r>
        <w:rPr>
          <w:rFonts w:ascii="Times New Roman" w:hAnsi="Times New Roman"/>
          <w:caps w:val="false"/>
          <w:smallCaps w:val="false"/>
          <w:sz w:val="20"/>
        </w:rPr>
        <w:t>$1.95</w:t>
      </w:r>
      <w:r>
        <w:rPr>
          <w:rFonts w:ascii="Times New Roman" w:hAnsi="Times New Roman"/>
          <w:caps w:val="false"/>
          <w:smallCaps w:val="false"/>
          <w:sz w:val="20"/>
          <w:shd w:fill="FFFFFF" w:val="clear"/>
        </w:rPr>
        <w:t>, </w:t>
      </w:r>
      <w:r>
        <w:rPr>
          <w:rFonts w:ascii="Times New Roman" w:hAnsi="Times New Roman"/>
          <w:caps w:val="false"/>
          <w:smallCaps w:val="false"/>
          <w:sz w:val="20"/>
        </w:rPr>
        <w:t>$4.57</w:t>
      </w:r>
      <w:r>
        <w:rPr>
          <w:rFonts w:ascii="Times New Roman" w:hAnsi="Times New Roman"/>
          <w:caps w:val="false"/>
          <w:smallCaps w:val="false"/>
          <w:sz w:val="20"/>
          <w:shd w:fill="FFFFFF" w:val="clear"/>
        </w:rPr>
        <w:t> and $3.17 per share, respectively. The weighted-average grant date fair value of RSUs awarded during the year ended </w:t>
      </w:r>
      <w:r>
        <w:rPr>
          <w:rStyle w:val="Emphasis"/>
          <w:rFonts w:ascii="Times New Roman" w:hAnsi="Times New Roman"/>
          <w:caps w:val="false"/>
          <w:smallCaps w:val="false"/>
          <w:sz w:val="20"/>
        </w:rPr>
        <w:t xml:space="preserve"> 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xml:space="preserve"> was </w:t>
      </w:r>
      <w:r>
        <w:rPr>
          <w:rFonts w:ascii="Times New Roman" w:hAnsi="Times New Roman"/>
          <w:caps w:val="false"/>
          <w:smallCaps w:val="false"/>
          <w:sz w:val="20"/>
        </w:rPr>
        <w:t>$3.36</w:t>
      </w:r>
      <w:r>
        <w:rPr>
          <w:rFonts w:ascii="Times New Roman" w:hAnsi="Times New Roman"/>
          <w:caps w:val="false"/>
          <w:smallCaps w:val="false"/>
          <w:sz w:val="20"/>
          <w:shd w:fill="FFFFFF" w:val="clear"/>
        </w:rPr>
        <w:t>, $5.86 and $3.96,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b/>
          <w:caps w:val="false"/>
          <w:smallCaps w:val="false"/>
          <w:sz w:val="20"/>
        </w:rPr>
      </w:pPr>
      <w:r>
        <w:rPr>
          <w:rFonts w:ascii="Times New Roman" w:hAnsi="Times New Roman"/>
          <w:b/>
          <w:caps w:val="false"/>
          <w:smallCaps w:val="false"/>
          <w:sz w:val="20"/>
        </w:rPr>
        <w:t>Restricted Stock Unit Rollforward</w:t>
      </w:r>
    </w:p>
    <w:p>
      <w:pPr>
        <w:pStyle w:val="TextBody"/>
        <w:bidi w:val="0"/>
        <w:spacing w:before="0" w:after="0"/>
        <w:ind w:left="0" w:right="0" w:hanging="0"/>
        <w:jc w:val="left"/>
        <w:rPr>
          <w:caps w:val="false"/>
          <w:smallCaps w:val="false"/>
        </w:rPr>
      </w:pPr>
      <w:r>
        <w:rPr>
          <w:caps w:val="false"/>
          <w:smallCaps w:val="false"/>
        </w:rPr>
        <w:t> </w:t>
      </w:r>
    </w:p>
    <w:tbl>
      <w:tblPr>
        <w:tblW w:w="7984" w:type="dxa"/>
        <w:jc w:val="left"/>
        <w:tblInd w:w="0" w:type="dxa"/>
        <w:tblLayout w:type="fixed"/>
        <w:tblCellMar>
          <w:top w:w="0" w:type="dxa"/>
          <w:left w:w="0" w:type="dxa"/>
          <w:bottom w:w="0" w:type="dxa"/>
          <w:right w:w="0" w:type="dxa"/>
        </w:tblCellMar>
      </w:tblPr>
      <w:tblGrid>
        <w:gridCol w:w="3260"/>
        <w:gridCol w:w="60"/>
        <w:gridCol w:w="60"/>
        <w:gridCol w:w="905"/>
        <w:gridCol w:w="80"/>
        <w:gridCol w:w="60"/>
        <w:gridCol w:w="862"/>
        <w:gridCol w:w="2622"/>
        <w:gridCol w:w="75"/>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Grant-Date Fair Value</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shares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(138,380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(1,246,307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75" w:type="dxa"/>
            <w:tcBorders/>
            <w:shd w:fill="FFFFFF" w:val="clear"/>
            <w:vAlign w:val="center"/>
          </w:tcPr>
          <w:p>
            <w:pPr>
              <w:pStyle w:val="TableContents"/>
              <w:bidi w:val="0"/>
              <w:spacing w:before="0" w:after="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shares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11—401</w:t>
      </w:r>
      <w:r>
        <w:rPr>
          <w:rFonts w:ascii="Times New Roman" w:hAnsi="Times New Roman"/>
          <w:b/>
          <w:caps w:val="false"/>
          <w:smallCaps w:val="false"/>
          <w:sz w:val="20"/>
        </w:rPr>
        <w:t>(k)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the Company adopted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savings plan for the benefit of its employees. The Company is required to make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equal to 100%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wages deferred by each participating employee and 50% on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wages deferred by each participating employee. The Company incurred expenses for employer matching contributions of a</w:t>
      </w:r>
      <w:r>
        <w:rPr>
          <w:rFonts w:ascii="Times New Roman" w:hAnsi="Times New Roman"/>
          <w:caps w:val="false"/>
          <w:smallCaps w:val="false"/>
          <w:sz w:val="20"/>
          <w:shd w:fill="FFFFFF" w:val="clear"/>
        </w:rPr>
        <w:t>pproximately </w:t>
      </w:r>
      <w:r>
        <w:rPr>
          <w:rFonts w:ascii="Times New Roman" w:hAnsi="Times New Roman"/>
          <w:caps w:val="false"/>
          <w:smallCaps w:val="false"/>
          <w:sz w:val="20"/>
        </w:rPr>
        <w:t>$1.6</w:t>
      </w:r>
      <w:r>
        <w:rPr>
          <w:rFonts w:ascii="Times New Roman" w:hAnsi="Times New Roman"/>
          <w:caps w:val="false"/>
          <w:smallCaps w:val="false"/>
          <w:sz w:val="20"/>
          <w:shd w:fill="FFFFFF" w:val="clear"/>
        </w:rPr>
        <w:t> million</w:t>
      </w:r>
      <w:r>
        <w:rPr>
          <w:rFonts w:ascii="Times New Roman" w:hAnsi="Times New Roman"/>
          <w:caps w:val="false"/>
          <w:smallCaps w:val="false"/>
          <w:sz w:val="20"/>
        </w:rPr>
        <w:t> for each of th</w:t>
      </w:r>
      <w:r>
        <w:rPr>
          <w:rFonts w:ascii="Times New Roman" w:hAnsi="Times New Roman"/>
          <w:caps w:val="false"/>
          <w:smallCaps w:val="false"/>
          <w:sz w:val="20"/>
          <w:shd w:fill="FFFFFF" w:val="clear"/>
        </w:rPr>
        <w:t>e years e</w:t>
      </w:r>
      <w:r>
        <w:rPr>
          <w:rFonts w:ascii="Times New Roman" w:hAnsi="Times New Roman"/>
          <w:caps w:val="false"/>
          <w:smallCaps w:val="false"/>
          <w:sz w:val="20"/>
        </w:rPr>
        <w:t xml:space="preserv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shd w:fill="FFFFFF" w:val="clear"/>
        </w:rPr>
        <w:t xml:space="preserve">Note </w:t>
      </w:r>
      <w:r>
        <w:rPr>
          <w:rStyle w:val="Emphasis"/>
          <w:rFonts w:ascii="Times New Roman" w:hAnsi="Times New Roman"/>
          <w:b/>
          <w:caps w:val="false"/>
          <w:smallCaps w:val="false"/>
          <w:sz w:val="20"/>
          <w:shd w:fill="FFFFFF" w:val="clear"/>
        </w:rPr>
        <w:t>12—Income</w:t>
      </w:r>
      <w:r>
        <w:rPr>
          <w:rFonts w:ascii="Times New Roman" w:hAnsi="Times New Roman"/>
          <w:b/>
          <w:caps w:val="false"/>
          <w:smallCaps w:val="false"/>
          <w:sz w:val="20"/>
          <w:shd w:fill="FFFFFF" w:val="clear"/>
        </w:rPr>
        <w:t xml:space="preserv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uses the asset and liability method of accounting for income taxes in accordance with Accounting Standards Codification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Under this method, income tax expense is recognized for the amount of: (i) taxes payable or refundable for the current year and (ii) deferred tax consequences of temporary differences resulting from matters that have been recognized in an entity’s financial statements or tax returns.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components of income before income taxes for the years ended </w:t>
      </w:r>
      <w:r>
        <w:rPr>
          <w:rStyle w:val="Emphasis"/>
          <w:rFonts w:ascii="Times New Roman" w:hAnsi="Times New Roman"/>
          <w:caps w:val="false"/>
          <w:smallCaps w:val="false"/>
          <w:sz w:val="20"/>
        </w:rPr>
        <w:t xml:space="preserve"> December 31 (</w:t>
      </w:r>
      <w:r>
        <w:rPr>
          <w:rFonts w:ascii="Times New Roman" w:hAnsi="Times New Roman"/>
          <w:caps w:val="false"/>
          <w:smallCaps w:val="false"/>
          <w:sz w:val="20"/>
        </w:rPr>
        <w:t>in thousands) are as follows: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2375"/>
        <w:gridCol w:w="60"/>
        <w:gridCol w:w="125"/>
        <w:gridCol w:w="590"/>
        <w:gridCol w:w="60"/>
        <w:gridCol w:w="60"/>
        <w:gridCol w:w="125"/>
        <w:gridCol w:w="590"/>
        <w:gridCol w:w="60"/>
        <w:gridCol w:w="60"/>
        <w:gridCol w:w="125"/>
        <w:gridCol w:w="590"/>
        <w:gridCol w:w="60"/>
      </w:tblGrid>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22,674</w:t>
            </w:r>
          </w:p>
        </w:tc>
        <w:tc>
          <w:tcPr>
            <w:tcW w:w="6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provisions of income taxes are summarized as follows (in thousands):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70"/>
        <w:gridCol w:w="60"/>
        <w:gridCol w:w="125"/>
        <w:gridCol w:w="485"/>
        <w:gridCol w:w="60"/>
        <w:gridCol w:w="60"/>
        <w:gridCol w:w="125"/>
        <w:gridCol w:w="545"/>
        <w:gridCol w:w="80"/>
        <w:gridCol w:w="60"/>
        <w:gridCol w:w="125"/>
        <w:gridCol w:w="485"/>
        <w:gridCol w:w="60"/>
      </w:tblGrid>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6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Statutory Federal Income Tax Rate to the Effective Income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The Company has elected to prospectively adopt the guidance in ASU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09,</w:t>
      </w:r>
      <w:r>
        <w:rPr>
          <w:rFonts w:ascii="Times New Roman" w:hAnsi="Times New Roman"/>
          <w:caps w:val="false"/>
          <w:smallCaps w:val="false"/>
          <w:sz w:val="20"/>
          <w:shd w:fill="FFFFFF" w:val="clear"/>
        </w:rPr>
        <w:t xml:space="preserve"> </w:t>
      </w:r>
      <w:r>
        <w:rPr>
          <w:rFonts w:ascii="Times New Roman" w:hAnsi="Times New Roman"/>
          <w:i/>
          <w:caps w:val="false"/>
          <w:smallCaps w:val="false"/>
          <w:sz w:val="20"/>
          <w:shd w:fill="FFFFFF" w:val="clear"/>
        </w:rPr>
        <w:t>Income Taxes</w:t>
      </w:r>
      <w:r>
        <w:rPr>
          <w:rFonts w:ascii="Times New Roman" w:hAnsi="Times New Roman"/>
          <w:caps w:val="false"/>
          <w:smallCaps w:val="false"/>
          <w:sz w:val="20"/>
          <w:shd w:fill="FFFFFF" w:val="clear"/>
        </w:rPr>
        <w:t xml:space="preserve"> (Topic </w:t>
      </w:r>
      <w:r>
        <w:rPr>
          <w:rStyle w:val="Emphasis"/>
          <w:rFonts w:ascii="Times New Roman" w:hAnsi="Times New Roman"/>
          <w:caps w:val="false"/>
          <w:smallCaps w:val="false"/>
          <w:sz w:val="20"/>
          <w:shd w:fill="FFFFFF" w:val="clear"/>
        </w:rPr>
        <w:t>740</w:t>
      </w:r>
      <w:r>
        <w:rPr>
          <w:rFonts w:ascii="Times New Roman" w:hAnsi="Times New Roman"/>
          <w:caps w:val="false"/>
          <w:smallCaps w:val="false"/>
          <w:sz w:val="20"/>
          <w:shd w:fill="FFFFFF" w:val="clear"/>
        </w:rPr>
        <w:t xml:space="preserve">): Improvements to Income Taxes Disclosures, or ASU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09.</w:t>
      </w:r>
      <w:r>
        <w:rPr>
          <w:rFonts w:ascii="Times New Roman" w:hAnsi="Times New Roman"/>
          <w:caps w:val="false"/>
          <w:smallCaps w:val="false"/>
          <w:sz w:val="20"/>
          <w:shd w:fill="FFFFFF" w:val="clear"/>
        </w:rPr>
        <w:t xml:space="preserve"> The following table is a reconciliation of the U.S. federal statutory rate of 21% to the Company's effective rate for the year ended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in accordance with the guidance in ASU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09:</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5195"/>
        <w:gridCol w:w="60"/>
        <w:gridCol w:w="60"/>
        <w:gridCol w:w="650"/>
        <w:gridCol w:w="80"/>
        <w:gridCol w:w="60"/>
        <w:gridCol w:w="114"/>
        <w:gridCol w:w="836"/>
        <w:gridCol w:w="18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SBC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162(m)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nontaxable or nondeductible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160" w:right="0" w:firstLine="34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State taxes in Kentucky and Indiana comprise the majority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of the tax effect in this category.</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As previously disclosed for the years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prior to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the effective income tax rate differs from the statutory federal income tax rate as follows: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3395"/>
        <w:gridCol w:w="60"/>
        <w:gridCol w:w="125"/>
        <w:gridCol w:w="650"/>
        <w:gridCol w:w="80"/>
        <w:gridCol w:w="60"/>
        <w:gridCol w:w="125"/>
        <w:gridCol w:w="545"/>
        <w:gridCol w:w="8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computed at the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Permanent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Approximately $3.8 million of the $18.7 million change in valuation allowance is attributable to a partial valuation allowance release (see further discussion within the tax footnotes below). Approximately $15.0 million of tax expense is due to stock-based compensation expense shortfall, the expiration of vested stock options, and non-deductible stock-based compensation. Approximately $1.6 million of the tax benefits are due to R&amp;D tax credits, net of a $0.4 million reserve related to unrecognized tax benefits for the method of allocation of expenses used in the R&amp;D credit calculation.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shd w:fill="FFFFFF" w:val="clear"/>
        </w:rPr>
        <w:t xml:space="preserve">Temporary differences between the carrying amounts of assets and liabilities for financial reporting purposes and the amounts used for income tax purposes give rise to the Company’s deferred income taxes. The components of the Company’s net deferred tax assets as of </w:t>
      </w:r>
      <w:r>
        <w:rPr>
          <w:rStyle w:val="Emphasis"/>
          <w:rFonts w:ascii="Times New Roman" w:hAnsi="Times New Roman"/>
          <w:caps w:val="false"/>
          <w:smallCaps w:val="false"/>
          <w:sz w:val="20"/>
          <w:shd w:fill="FFFFFF" w:val="clear"/>
        </w:rPr>
        <w:t>December 31, 2025, 2024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are as follows (in thousands):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2870"/>
        <w:gridCol w:w="60"/>
        <w:gridCol w:w="125"/>
        <w:gridCol w:w="755"/>
        <w:gridCol w:w="80"/>
        <w:gridCol w:w="60"/>
        <w:gridCol w:w="125"/>
        <w:gridCol w:w="755"/>
        <w:gridCol w:w="80"/>
        <w:gridCol w:w="60"/>
        <w:gridCol w:w="125"/>
        <w:gridCol w:w="755"/>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240,960</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credit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62,051</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37,946</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174 R&amp;D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19,882</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Carryforward of disallowed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legal verdict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1,976</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371,818</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(368,751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3,067</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had deferred tax assets totaling $352.0 million, primarily attributable to net operating loss (NOL) carryforwards and R&amp;D tax credit carryforwards. A valuation allowance of $343.5 million had been established in prior periods as the management concluded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has recorded a net decrease in the valuation allowance of $18.7 million. The decrease is attributable to recognizing $14.9 million of net deferred tax assets primarily related to utilization of net operating losses and stock-based compensation. The remaining change is attributable to a partial valuation allowance release of $3.8 million driven by forecasted earnings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remaining valuation allowance of $324.8 million reserves against deferred tax assets that are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recognized, as the Company's forecasted profitability is uncertain beyond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Management’s decision to release a portion of the valuation allowance was based on an assessment of both positive and negative evidence, as required under ASC </w:t>
      </w:r>
      <w:r>
        <w:rPr>
          <w:rStyle w:val="Emphasis"/>
          <w:rFonts w:ascii="Times New Roman" w:hAnsi="Times New Roman"/>
          <w:caps w:val="false"/>
          <w:smallCaps w:val="false"/>
          <w:sz w:val="20"/>
        </w:rPr>
        <w:t>740.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Positive evidence supporting the partial release included:</w:t>
      </w:r>
    </w:p>
    <w:p>
      <w:pPr>
        <w:pStyle w:val="TextBody"/>
        <w:bidi w:val="0"/>
        <w:spacing w:before="0" w:after="0"/>
        <w:ind w:left="0" w:right="0" w:firstLine="56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1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consecutive years of cumulative pretax income, indicating a trend of profitability.</w:t>
            </w:r>
          </w:p>
        </w:tc>
      </w:tr>
    </w:tbl>
    <w:p>
      <w:pPr>
        <w:pStyle w:val="TextBody"/>
        <w:bidi w:val="0"/>
        <w:spacing w:before="0" w:after="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left"/>
              <w:rPr/>
            </w:pPr>
            <w:r>
              <w:rPr>
                <w:rFonts w:ascii="Times New Roman;Times;serif" w:hAnsi="Times New Roman;Times;serif"/>
                <w:sz w:val="20"/>
              </w:rPr>
              <w:t xml:space="preserve">Projected earnings in </w:t>
            </w:r>
            <w:r>
              <w:rPr>
                <w:rStyle w:val="Emphasis"/>
                <w:rFonts w:ascii="Times New Roman;Times;serif" w:hAnsi="Times New Roman;Times;serif"/>
                <w:sz w:val="20"/>
              </w:rPr>
              <w:t>2026,</w:t>
            </w:r>
            <w:r>
              <w:rPr>
                <w:rFonts w:ascii="Times New Roman;Times;serif" w:hAnsi="Times New Roman;Times;serif"/>
                <w:sz w:val="20"/>
              </w:rPr>
              <w:t xml:space="preserve"> increasing the likelihood of realizing certain deferred tax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Negative evidence that led to retaining a portion of the valuation allowance included:</w:t>
      </w:r>
    </w:p>
    <w:p>
      <w:pPr>
        <w:pStyle w:val="TextBody"/>
        <w:bidi w:val="0"/>
        <w:spacing w:before="0" w:after="0"/>
        <w:ind w:left="0" w:right="0" w:firstLine="5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Competitive pressure in the oncology market, including the risks of alternative treatments gaining market share or impacting pricing flexibility.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Ability to generate sustained profitability remains uncertain due to dependence on NYRLYNX as a primary commercial product</w:t>
            </w:r>
          </w:p>
        </w:tc>
      </w:tr>
    </w:tbl>
    <w:p>
      <w:pPr>
        <w:pStyle w:val="TextBody"/>
        <w:bidi w:val="0"/>
        <w:spacing w:before="0" w:after="0"/>
        <w:ind w:left="0" w:right="0" w:hanging="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profits are contingent on the successful clinical development and approval of pipeline products</w:t>
            </w:r>
          </w:p>
        </w:tc>
      </w:tr>
    </w:tbl>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60"/>
        <w:gridCol w:w="110"/>
        <w:gridCol w:w="53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limitations on the utilization of NOL and R&amp;D tax credits.</w:t>
            </w:r>
          </w:p>
        </w:tc>
      </w:tr>
    </w:tbl>
    <w:p>
      <w:pPr>
        <w:pStyle w:val="TextBody"/>
        <w:bidi w:val="0"/>
        <w:spacing w:before="0" w:after="0"/>
        <w:ind w:left="0" w:right="0" w:hanging="0"/>
        <w:jc w:val="left"/>
        <w:rPr/>
      </w:pPr>
      <w:r>
        <w:rPr/>
        <w:t> </w:t>
      </w:r>
    </w:p>
    <w:tbl>
      <w:tblPr>
        <w:tblW w:w="8560" w:type="dxa"/>
        <w:jc w:val="left"/>
        <w:tblInd w:w="0" w:type="dxa"/>
        <w:tblLayout w:type="fixed"/>
        <w:tblCellMar>
          <w:top w:w="0" w:type="dxa"/>
          <w:left w:w="0" w:type="dxa"/>
          <w:bottom w:w="0" w:type="dxa"/>
          <w:right w:w="0" w:type="dxa"/>
        </w:tblCellMar>
      </w:tblPr>
      <w:tblGrid>
        <w:gridCol w:w="60"/>
        <w:gridCol w:w="110"/>
        <w:gridCol w:w="8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The Company does </w:t>
            </w:r>
            <w:r>
              <w:rPr>
                <w:rStyle w:val="Emphasis"/>
                <w:rFonts w:ascii="Times New Roman;Times;serif" w:hAnsi="Times New Roman;Times;serif"/>
                <w:sz w:val="20"/>
              </w:rPr>
              <w:t>not</w:t>
            </w:r>
            <w:r>
              <w:rPr>
                <w:rFonts w:ascii="Times New Roman;Times;serif" w:hAnsi="Times New Roman;Times;serif"/>
                <w:sz w:val="20"/>
              </w:rPr>
              <w:t xml:space="preserve"> have material deferred tax liabilities (DTLs) to offset deferred tax assets (DTAs).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remaining valuation allowance of $324.8 million continues to reflect management’s assessment of uncertainties related to the realization of certain net operating losses and R&amp;D tax credit carryforwards, which remain subject to expiration or utilization limitations. The decision to retain the remaining valuation allowance was based on inherent uncertainty in forecasting taxable income beyond </w:t>
      </w:r>
      <w:r>
        <w:rPr>
          <w:rStyle w:val="Emphasis"/>
          <w:rFonts w:ascii="Times New Roman" w:hAnsi="Times New Roman"/>
          <w:caps w:val="false"/>
          <w:smallCaps w:val="false"/>
          <w:sz w:val="20"/>
        </w:rPr>
        <w:t>2026.</w:t>
      </w:r>
      <w:r>
        <w:rPr>
          <w:rFonts w:ascii="Times New Roman" w:hAnsi="Times New Roman"/>
          <w:caps w:val="false"/>
          <w:smallCaps w:val="false"/>
          <w:sz w:val="20"/>
        </w:rPr>
        <w:t> </w:t>
      </w:r>
    </w:p>
    <w:p>
      <w:pPr>
        <w:pStyle w:val="TextBody"/>
        <w:bidi w:val="0"/>
        <w:spacing w:before="0" w:after="0"/>
        <w:ind w:left="0" w:right="0" w:firstLine="560"/>
        <w:jc w:val="left"/>
        <w:rPr/>
      </w:pPr>
      <w:r>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partial release of the valuation allowance decreased the effective tax rate by 9.07%.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Management will continue to evaluate the realizability of deferred tax assets on a quarterly basis.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federal and state net operating loss carryforwards respectively of approximately $827.8 million and $819.2 million, respectively, which will begin to expire respectively in </w:t>
      </w:r>
      <w:r>
        <w:rPr>
          <w:rStyle w:val="Emphasis"/>
          <w:rFonts w:ascii="Times New Roman" w:hAnsi="Times New Roman"/>
          <w:caps w:val="false"/>
          <w:smallCaps w:val="false"/>
          <w:sz w:val="20"/>
        </w:rPr>
        <w:t>2035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2036.</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also has federal research and development credit carryforwards of approximately $42.0 million.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utilized, the research and development credit carryforwards will begin expiring in </w:t>
      </w:r>
      <w:r>
        <w:rPr>
          <w:rStyle w:val="Emphasis"/>
          <w:rFonts w:ascii="Times New Roman" w:hAnsi="Times New Roman"/>
          <w:caps w:val="false"/>
          <w:smallCaps w:val="false"/>
          <w:sz w:val="20"/>
        </w:rPr>
        <w:t>2033.</w:t>
      </w:r>
      <w:r>
        <w:rPr>
          <w:rFonts w:ascii="Times New Roman" w:hAnsi="Times New Roman"/>
          <w:caps w:val="false"/>
          <w:smallCaps w:val="false"/>
          <w:sz w:val="20"/>
        </w:rPr>
        <w:t xml:space="preserve"> The Company has state research and development credit carryforwards of approximately $26.3 million which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Pursuant to the Internal Revenue Code, Sections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383,</w:t>
      </w:r>
      <w:r>
        <w:rPr>
          <w:rFonts w:ascii="Times New Roman" w:hAnsi="Times New Roman"/>
          <w:caps w:val="false"/>
          <w:smallCaps w:val="false"/>
          <w:sz w:val="20"/>
        </w:rPr>
        <w:t xml:space="preserve"> use of the Company’s net operating loss and credit carryforwards could be limited if a cumulative change in ownership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occurs within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The Company performed an assessment of the potential limitation on net operating loss and credit carryforwards, and concluded that there will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limitation for the tax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for federal purposes.</w:t>
      </w:r>
    </w:p>
    <w:p>
      <w:pPr>
        <w:pStyle w:val="TextBody"/>
        <w:bidi w:val="0"/>
        <w:spacing w:before="0" w:after="0"/>
        <w:ind w:left="0" w:right="0" w:hanging="0"/>
        <w:jc w:val="left"/>
        <w:rPr/>
      </w:pPr>
      <w:r>
        <w:rPr/>
        <w:t> </w:t>
      </w:r>
    </w:p>
    <w:p>
      <w:pPr>
        <w:pStyle w:val="TextBody"/>
        <w:bidi w:val="0"/>
        <w:spacing w:before="0" w:after="0"/>
        <w:ind w:left="0" w:right="0" w:firstLine="560"/>
        <w:jc w:val="left"/>
        <w:rPr/>
      </w:pPr>
      <w:r>
        <w:rPr>
          <w:rFonts w:ascii="Times New Roman" w:hAnsi="Times New Roman"/>
          <w:caps w:val="false"/>
          <w:smallCaps w:val="false"/>
          <w:sz w:val="20"/>
        </w:rPr>
        <w:t xml:space="preserve">The following is a tabular reconciliation of the total amounts of unrecognized tax benefits at </w:t>
      </w:r>
      <w:r>
        <w:rPr>
          <w:rStyle w:val="Emphasis"/>
          <w:rFonts w:ascii="Times New Roman" w:hAnsi="Times New Roman"/>
          <w:caps w:val="false"/>
          <w:smallCaps w:val="false"/>
          <w:sz w:val="20"/>
        </w:rPr>
        <w:t>December 31 (</w:t>
      </w:r>
      <w:r>
        <w:rPr>
          <w:rFonts w:ascii="Times New Roman" w:hAnsi="Times New Roman"/>
          <w:caps w:val="false"/>
          <w:smallCaps w:val="false"/>
          <w:sz w:val="20"/>
        </w:rPr>
        <w:t>in thousands):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3980"/>
        <w:gridCol w:w="60"/>
        <w:gridCol w:w="125"/>
        <w:gridCol w:w="485"/>
        <w:gridCol w:w="80"/>
        <w:gridCol w:w="60"/>
        <w:gridCol w:w="125"/>
        <w:gridCol w:w="485"/>
        <w:gridCol w:w="80"/>
        <w:gridCol w:w="60"/>
        <w:gridCol w:w="125"/>
        <w:gridCol w:w="485"/>
        <w:gridCol w:w="80"/>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decreases - tax positions in prior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increases - tax positions in a current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During prior period we completed research and development credit study. As a result of the study, we computed our credit under safe harbor rules which when applied consistently result in more conservative approach of calculating the amount of credit. We concluded that a release of uncertain tax benefits for the portion of the R&amp;D credit attributable to safe harbor was appropriate and released a portion of previously recorded uncertain tax positions 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files tax returns as prescribed by the tax laws of the jurisdictions in which it operates. In the normal course of business, the Company is subject to examination by the federal and state jurisdictions where applicable. The Company is currently pending a federal income tax examination for the fiscal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Company’s tax years for 2012 and forward are subject to examination by the federal and California tax authorities due to the carryforward of unutilized net operating losses and research and development credits.</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Disclosed below is a summary of income taxes paid by jurisdiction pursuant to the disclosure requirements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December 31, 2025:</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455"/>
        <w:gridCol w:w="60"/>
        <w:gridCol w:w="60"/>
        <w:gridCol w:w="485"/>
        <w:gridCol w:w="75"/>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income taxes paid (net of refunds)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paid (net of refunds)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income taxes paid (net of refunds)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taxes paid (net of refunds)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Income taxes paid (net of refunds) exceeded </w:t>
      </w:r>
      <w:r>
        <w:rPr>
          <w:rStyle w:val="Emphasis"/>
          <w:rFonts w:ascii="Times New Roman" w:hAnsi="Times New Roman"/>
          <w:caps w:val="false"/>
          <w:smallCaps w:val="false"/>
          <w:sz w:val="20"/>
        </w:rPr>
        <w:t>five</w:t>
      </w:r>
      <w:r>
        <w:rPr>
          <w:rFonts w:ascii="Times New Roman" w:hAnsi="Times New Roman"/>
          <w:caps w:val="false"/>
          <w:smallCaps w:val="false"/>
          <w:sz w:val="20"/>
        </w:rPr>
        <w:t> percent of total income taxes paid (net of refunds) in the following jurisdictions:</w:t>
      </w:r>
    </w:p>
    <w:p>
      <w:pPr>
        <w:pStyle w:val="TextBody"/>
        <w:bidi w:val="0"/>
        <w:spacing w:before="0" w:after="0"/>
        <w:ind w:left="0" w:right="0" w:firstLine="56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130"/>
        <w:gridCol w:w="60"/>
        <w:gridCol w:w="60"/>
        <w:gridCol w:w="695"/>
        <w:gridCol w:w="75"/>
      </w:tblGrid>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Alabama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172,000</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181,700</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199,000</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Kentucky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181,400</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77,800</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Pennsylvania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121,600</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ind w:left="4500" w:right="0" w:hanging="4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13—Commitments</w:t>
      </w:r>
      <w:r>
        <w:rPr>
          <w:rFonts w:ascii="Times New Roman" w:hAnsi="Times New Roman"/>
          <w:b/>
          <w:caps w:val="false"/>
          <w:smallCaps w:val="false"/>
          <w:sz w:val="20"/>
        </w:rPr>
        <w:t xml:space="preserve">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Pfizer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the Company entered into an agreement pursuant to which Pfizer agreed to grant it a worldwide license for the development, manufacture and commercialization of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intravenous) and </w:t>
      </w:r>
      <w:r>
        <w:rPr>
          <w:rStyle w:val="Emphasis"/>
          <w:rFonts w:ascii="Times New Roman" w:hAnsi="Times New Roman"/>
          <w:caps w:val="false"/>
          <w:smallCaps w:val="false"/>
          <w:sz w:val="20"/>
        </w:rPr>
        <w:t>PB357,</w:t>
      </w:r>
      <w:r>
        <w:rPr>
          <w:rFonts w:ascii="Times New Roman" w:hAnsi="Times New Roman"/>
          <w:caps w:val="false"/>
          <w:smallCaps w:val="false"/>
          <w:sz w:val="20"/>
        </w:rPr>
        <w:t xml:space="preserve"> and certain related compounds. The license is exclusive with respect to certain patent rights owned by or licensed to Pfizer. Under the agreement, the Company is obligated to commence a new clinical trial for a product containing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these compounds within a specified period of time and to use commercially reasonable efforts to complete clinical trials and to achieve certain milestones as provided in a development plan. From the closing date of the agreement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Pfizer continued to conduct the existing clinical trials on behalf of the Company at the licensor’s sole expense. At the Company’s request, Pfizer agreed to continue to perform certain services in support of the existing clinical trials at the Company’s expense. These services will continue through the completion of the transitioned clinical trials. The license agreement “capped” the out of pocket expense the Company would be responsible to complete the then existing clinical trials. All agreed upon costs incurred by the Company above the “cost cap” would be reimbursed by Pfizer. The Company exceeded the “cost cap”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 accordance with the license agreement, the Company billed Pfizer for agreed upon costs above the “cost cap” until </w:t>
      </w:r>
      <w:r>
        <w:rPr>
          <w:rStyle w:val="Emphasis"/>
          <w:rFonts w:ascii="Times New Roman" w:hAnsi="Times New Roman"/>
          <w:caps w:val="false"/>
          <w:smallCaps w:val="false"/>
          <w:sz w:val="20"/>
        </w:rPr>
        <w:t>December 31,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entered into an amendment to the license agreement with Pfizer. The amendment amends the agreement to (i) reduce the royalty rate payable by the Company to Pfizer on sales of licensed products; (ii) release Pfizer from its obligation to pay for certain out-of-pocket costs incurred or accrued on or after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to complete certain ongoing clinical studies; and (iii) provide that Pfizer and the Company will continue to cooperate to effect the transfer to the Company of certain records, regulatory filings, materials and inventory controlled by Pfizer as promptly as reasonably practicable.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As consideration for the license, the Company is required to make substantial payments upon the achievement of certain milestones totaling approximately $187.5 million if all such milestones are achieved, of which $102.5 million have been achieved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 connection with the FDA approval of NERLYNX in </w:t>
      </w:r>
      <w:r>
        <w:rPr>
          <w:rStyle w:val="Emphasis"/>
          <w:rFonts w:ascii="Times New Roman" w:hAnsi="Times New Roman"/>
          <w:caps w:val="false"/>
          <w:smallCaps w:val="false"/>
          <w:sz w:val="20"/>
        </w:rPr>
        <w:t xml:space="preserve">July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triggered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pursuant to the agreement. 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the Company entered into a letter agreement (the “Letter Agreement”), with Pfizer relating to the method of payment associated with a </w:t>
      </w:r>
      <w:r>
        <w:rPr>
          <w:rStyle w:val="Emphasis"/>
          <w:rFonts w:ascii="Times New Roman" w:hAnsi="Times New Roman"/>
          <w:caps w:val="false"/>
          <w:smallCaps w:val="false"/>
          <w:sz w:val="20"/>
        </w:rPr>
        <w:t>one</w:t>
      </w:r>
      <w:r>
        <w:rPr>
          <w:rFonts w:ascii="Times New Roman" w:hAnsi="Times New Roman"/>
          <w:caps w:val="false"/>
          <w:smallCaps w:val="false"/>
          <w:sz w:val="20"/>
        </w:rPr>
        <w:t>-time milestone payment under the license agreement with Pfizer. The Letter Agreement permitted the Company to make the milestone payment in installments with the remaining amount payable to Pfizer (including interest). The milestone payment accrued interest at 6.25% per annum.</w:t>
      </w:r>
      <w:r>
        <w:rPr>
          <w:rFonts w:ascii="Times New Roman" w:hAnsi="Times New Roman"/>
          <w:caps w:val="false"/>
          <w:smallCaps w:val="false"/>
          <w:sz w:val="20"/>
          <w:shd w:fill="FFFFFF" w:val="clear"/>
        </w:rPr>
        <w:t xml:space="preserve"> The milestone payment including accrued interest of $1.8 million was paid in full in </w:t>
      </w:r>
      <w:r>
        <w:rPr>
          <w:rStyle w:val="Emphasis"/>
          <w:rFonts w:ascii="Times New Roman" w:hAnsi="Times New Roman"/>
          <w:caps w:val="false"/>
          <w:smallCaps w:val="false"/>
          <w:sz w:val="20"/>
          <w:shd w:fill="FFFFFF" w:val="clear"/>
        </w:rPr>
        <w:t>September 2021. </w:t>
      </w:r>
      <w:r>
        <w:rPr>
          <w:rFonts w:ascii="Times New Roman" w:hAnsi="Times New Roman"/>
          <w:caps w:val="false"/>
          <w:smallCaps w:val="false"/>
          <w:sz w:val="20"/>
          <w:shd w:fill="FFFFFF" w:val="clear"/>
        </w:rPr>
        <w:t xml:space="preserve">In addition, the company reached a commercial milestone by achieving aggregate worldwide net sales of $250.0 million in calendar year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resulting in a payable to Pfizer of $12.5 million as of </w:t>
      </w:r>
      <w:r>
        <w:rPr>
          <w:rStyle w:val="Emphasis"/>
          <w:rFonts w:ascii="Times New Roman" w:hAnsi="Times New Roman"/>
          <w:caps w:val="false"/>
          <w:smallCaps w:val="false"/>
          <w:sz w:val="20"/>
          <w:shd w:fill="FFFFFF" w:val="clear"/>
        </w:rPr>
        <w:t>December 31, 2022. </w:t>
      </w:r>
      <w:r>
        <w:rPr>
          <w:rFonts w:ascii="Times New Roman" w:hAnsi="Times New Roman"/>
          <w:caps w:val="false"/>
          <w:smallCaps w:val="false"/>
          <w:sz w:val="20"/>
          <w:shd w:fill="FFFFFF" w:val="clear"/>
        </w:rPr>
        <w:t xml:space="preserve">The commercial milestone payable was paid in </w:t>
      </w:r>
      <w:r>
        <w:rPr>
          <w:rStyle w:val="Emphasis"/>
          <w:rFonts w:ascii="Times New Roman" w:hAnsi="Times New Roman"/>
          <w:caps w:val="false"/>
          <w:smallCaps w:val="false"/>
          <w:sz w:val="20"/>
          <w:shd w:fill="FFFFFF" w:val="clear"/>
        </w:rPr>
        <w:t>February 2023.</w:t>
      </w:r>
      <w:r>
        <w:rPr>
          <w:rFonts w:ascii="Times New Roman" w:hAnsi="Times New Roman"/>
          <w:caps w:val="false"/>
          <w:smallCaps w:val="false"/>
          <w:sz w:val="20"/>
          <w:shd w:fill="FFFFFF" w:val="clear"/>
        </w:rPr>
        <w:t>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trigger additional milestone payments in the future. Should the Company commercialize any more of the compounds licensed from Pfizer or any products containing any of these compounds, the Company will be obligated to pay to Pfizer annual royalties at a fixed rate in the low to mid-teens of net sales of all such products, subject to certain reductions and offsets in some circumstances. The Company’s royalty obligation continues, on a product-by-product and country-by-country basis, until the later of (i) the last to expire licensed patent covering the applicable licensed product in such country, or (ii) the earlier of generic competition for such licensed product reaching a certain level in such country or expiration of a certain time period after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such licensed product in such country. In the event that the Company sublicenses the rights granted to the Company under the license agreement with Pfizer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same milestone and royalty payments are required. The Company can terminate the license agreement at will, or for safety concerns, in each case upon specified advance notice.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Takeda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Takeda to license the worldwide research and development and commercial rights to alisertib, a selective, small-molecule, orally administered inhibitor of Aurora Kinase A. Under the terms of the exclusive license agreement, the Company assumed sole responsibility for the global development and commercialization of alisertib. The Company paid Takeda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and is eligible to receive potential future milestone payments of u</w:t>
      </w:r>
      <w:r>
        <w:rPr>
          <w:rFonts w:ascii="Times New Roman" w:hAnsi="Times New Roman"/>
          <w:caps w:val="false"/>
          <w:smallCaps w:val="false"/>
          <w:sz w:val="20"/>
          <w:shd w:fill="FFFFFF" w:val="clear"/>
        </w:rPr>
        <w:t xml:space="preserve">p to $287.3 million </w:t>
      </w:r>
      <w:r>
        <w:rPr>
          <w:rFonts w:ascii="Times New Roman" w:hAnsi="Times New Roman"/>
          <w:caps w:val="false"/>
          <w:smallCaps w:val="false"/>
          <w:sz w:val="20"/>
        </w:rPr>
        <w:t>upon the Company’s achievement of certain regulatory and commercial milestones over the course of the exclusive license agreement, as well as tiered royalty payments for any net sales of alisertib. The Company recorded in-process research and development expense of $7.0 million in connection with the upfront payment related to the asset acquisition.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had been accrued as the underlying contingencies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Clinical Trial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The Company engages with CROs and contract manufacturing organizations (“CMOs”) in addition to eng</w:t>
      </w:r>
      <w:r>
        <w:rPr>
          <w:rFonts w:ascii="Times New Roman" w:hAnsi="Times New Roman"/>
          <w:caps w:val="false"/>
          <w:smallCaps w:val="false"/>
          <w:sz w:val="20"/>
          <w:shd w:fill="FFFFFF" w:val="clear"/>
        </w:rPr>
        <w:t xml:space="preserve">aging in contracts for the management of its ongoing clinical trials and pre-commercialization efforts.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cancel these agreements with a 30 to 45 day written notice to the outside vendor. The Company would be obligated to pay for services rendered up to that point, which amounts to total contractual obligations of approximately $54.9 million w</w:t>
      </w:r>
      <w:r>
        <w:rPr>
          <w:rFonts w:ascii="Times New Roman" w:hAnsi="Times New Roman"/>
          <w:caps w:val="false"/>
          <w:smallCaps w:val="false"/>
          <w:sz w:val="20"/>
        </w:rPr>
        <w:t xml:space="preserve">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Th</w:t>
      </w:r>
      <w:r>
        <w:rPr>
          <w:rFonts w:ascii="Times New Roman" w:hAnsi="Times New Roman"/>
          <w:caps w:val="false"/>
          <w:smallCaps w:val="false"/>
          <w:sz w:val="20"/>
          <w:shd w:fill="FFFFFF" w:val="clear"/>
        </w:rPr>
        <w:t xml:space="preserve">e contracts also contain variable costs that are hard to predict as they are based on such things as patients enrolled and clinical trial sites, which can vary, and therefore,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included in the total obligations amount. Included in the total contractual obligations amount above are payments to be made when milestones are reached. As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obligations for potential milestone payments total</w:t>
      </w:r>
      <w:r>
        <w:rPr>
          <w:rFonts w:ascii="Times New Roman" w:hAnsi="Times New Roman"/>
          <w:caps w:val="false"/>
          <w:smallCaps w:val="false"/>
          <w:sz w:val="20"/>
          <w:shd w:fill="FFFFFF" w:val="clear"/>
        </w:rPr>
        <w:t>ed approximately $15.7 million.</w:t>
      </w:r>
      <w:r>
        <w:rPr>
          <w:rFonts w:ascii="Times New Roman" w:hAnsi="Times New Roman"/>
          <w:caps w:val="false"/>
          <w:smallCaps w:val="false"/>
          <w:sz w:val="20"/>
        </w:rPr>
        <w:t xml:space="preserve"> This amount will be paid by the Company if all milestones are reached and would reduce the overall contractual obligation if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milestone is never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The Company and certain of its executive officers were named as defendants in the lawsuits detailed below. The Company records a liability in the consolidated financial statements for loss contingencies when a loss is known or considered probable and the amount can be reasonably estimated. If the reasonable estimate of a known or probable loss is a range,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within the range is a better estimate than any other, the minimum amount of the range is accrued. If a loss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known or probable, and can be reasonably estimated, the estimated loss or range of loss is disclosed. When determining the estimated loss or range of loss, significant judgment is required to estimate the amount and timing of a loss to be recorded.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Legal Malpractice Suit</w:t>
      </w:r>
      <w:r>
        <w:rPr>
          <w:rFonts w:ascii="Times New Roman" w:hAnsi="Times New Roman"/>
          <w:caps w:val="false"/>
          <w:smallCaps w:val="false"/>
          <w:sz w:val="20"/>
        </w:rPr>
        <w:t xml:space="preserve"> </w:t>
      </w:r>
    </w:p>
    <w:p>
      <w:pPr>
        <w:pStyle w:val="TextBody"/>
        <w:bidi w:val="0"/>
        <w:spacing w:before="0" w:after="0"/>
        <w:ind w:left="0" w:right="0" w:firstLine="560"/>
        <w:jc w:val="left"/>
        <w:rPr/>
      </w:pPr>
      <w:r>
        <w:rPr/>
        <w:t> </w:t>
      </w:r>
    </w:p>
    <w:p>
      <w:pPr>
        <w:pStyle w:val="TextBody"/>
        <w:bidi w:val="0"/>
        <w:spacing w:before="0" w:after="0"/>
        <w:ind w:left="0" w:right="0" w:firstLine="56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17, 2020, </w:t>
      </w:r>
      <w:r>
        <w:rPr>
          <w:rFonts w:ascii="Times New Roman" w:hAnsi="Times New Roman"/>
          <w:caps w:val="false"/>
          <w:smallCaps w:val="false"/>
          <w:sz w:val="20"/>
        </w:rPr>
        <w:t xml:space="preserve">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and all legal fees and expenses incurred in appealing from the judgment and retrying the damages phase of the trial. On </w:t>
      </w:r>
      <w:r>
        <w:rPr>
          <w:rStyle w:val="Emphasis"/>
          <w:rFonts w:ascii="Times New Roman" w:hAnsi="Times New Roman"/>
          <w:caps w:val="false"/>
          <w:smallCaps w:val="false"/>
          <w:sz w:val="20"/>
        </w:rPr>
        <w:t xml:space="preserve"> November 23, 2020, </w:t>
      </w:r>
      <w:r>
        <w:rPr>
          <w:rFonts w:ascii="Times New Roman" w:hAnsi="Times New Roman"/>
          <w:caps w:val="false"/>
          <w:smallCaps w:val="false"/>
          <w:sz w:val="20"/>
        </w:rPr>
        <w:t xml:space="preserve">the defendant filed an answer to the complaint denying the allegations of negligence. On </w:t>
      </w:r>
      <w:r>
        <w:rPr>
          <w:rStyle w:val="Emphasis"/>
          <w:rFonts w:ascii="Times New Roman" w:hAnsi="Times New Roman"/>
          <w:caps w:val="false"/>
          <w:smallCaps w:val="false"/>
          <w:sz w:val="20"/>
        </w:rPr>
        <w:t xml:space="preserve">August 19, 2022, </w:t>
      </w:r>
      <w:r>
        <w:rPr>
          <w:rFonts w:ascii="Times New Roman" w:hAnsi="Times New Roman"/>
          <w:caps w:val="false"/>
          <w:smallCaps w:val="false"/>
          <w:sz w:val="20"/>
        </w:rPr>
        <w:t xml:space="preserve">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On </w:t>
      </w:r>
      <w:r>
        <w:rPr>
          <w:rStyle w:val="Emphasis"/>
          <w:rFonts w:ascii="Times New Roman" w:hAnsi="Times New Roman"/>
          <w:caps w:val="false"/>
          <w:smallCaps w:val="false"/>
          <w:sz w:val="20"/>
        </w:rPr>
        <w:t xml:space="preserve">August 22, 2023, </w:t>
      </w:r>
      <w:r>
        <w:rPr>
          <w:rFonts w:ascii="Times New Roman" w:hAnsi="Times New Roman"/>
          <w:caps w:val="false"/>
          <w:smallCaps w:val="false"/>
          <w:sz w:val="20"/>
        </w:rPr>
        <w:t xml:space="preserve">the defendants filed motions to dismiss the case. These motions were presented at a hearing on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The Superior Court Judge granted the motions to dismiss 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appealed this ruling to the North Carolina Court of Appeals. On </w:t>
      </w:r>
      <w:r>
        <w:rPr>
          <w:rStyle w:val="Emphasis"/>
          <w:rFonts w:ascii="Times New Roman" w:hAnsi="Times New Roman"/>
          <w:caps w:val="false"/>
          <w:smallCaps w:val="false"/>
          <w:sz w:val="20"/>
        </w:rPr>
        <w:t xml:space="preserve">September 3, 2025, </w:t>
      </w:r>
      <w:r>
        <w:rPr>
          <w:rFonts w:ascii="Times New Roman" w:hAnsi="Times New Roman"/>
          <w:caps w:val="false"/>
          <w:smallCaps w:val="false"/>
          <w:sz w:val="20"/>
        </w:rPr>
        <w:t xml:space="preserve">the Court of Appeals reversed the dismissal of the Company’s claim for legal malpractice and remanded the case to the Superior Court for further proceedings. The defendants filed a petition for discretionary review of this decision by the North Carolina Supreme Court on </w:t>
      </w:r>
      <w:r>
        <w:rPr>
          <w:rStyle w:val="Emphasis"/>
          <w:rFonts w:ascii="Times New Roman" w:hAnsi="Times New Roman"/>
          <w:caps w:val="false"/>
          <w:smallCaps w:val="false"/>
          <w:sz w:val="20"/>
        </w:rPr>
        <w:t xml:space="preserve">October 8, 2025. </w:t>
      </w:r>
      <w:r>
        <w:rPr>
          <w:rFonts w:ascii="Times New Roman" w:hAnsi="Times New Roman"/>
          <w:caps w:val="false"/>
          <w:smallCaps w:val="false"/>
          <w:sz w:val="20"/>
        </w:rPr>
        <w:t xml:space="preserve">The Supreme Court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decided whether to accept the case for review.</w:t>
      </w:r>
    </w:p>
    <w:p>
      <w:pPr>
        <w:pStyle w:val="TextBody"/>
        <w:bidi w:val="0"/>
        <w:spacing w:before="0" w:after="0"/>
        <w:ind w:left="0" w:right="0" w:hanging="0"/>
        <w:jc w:val="left"/>
        <w:rPr/>
      </w:pPr>
      <w:r>
        <w:rPr/>
        <w:t> </w:t>
      </w:r>
    </w:p>
    <w:p>
      <w:pPr>
        <w:pStyle w:val="TextBody"/>
        <w:bidi w:val="0"/>
        <w:spacing w:before="0" w:after="0"/>
        <w:jc w:val="left"/>
        <w:rPr>
          <w:rFonts w:ascii="Times New Roman" w:hAnsi="Times New Roman"/>
          <w:caps w:val="false"/>
          <w:smallCaps w:val="false"/>
          <w:sz w:val="20"/>
        </w:rPr>
      </w:pPr>
      <w:r>
        <w:rPr>
          <w:rFonts w:ascii="Times New Roman" w:hAnsi="Times New Roman"/>
          <w:b/>
          <w:i/>
          <w:caps w:val="false"/>
          <w:smallCaps w:val="false"/>
          <w:sz w:val="20"/>
        </w:rPr>
        <w:t>Patent-Related Proceedings</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22, 2021, </w:t>
      </w:r>
      <w:r>
        <w:rPr>
          <w:rFonts w:ascii="Times New Roman" w:hAnsi="Times New Roman"/>
          <w:caps w:val="false"/>
          <w:smallCaps w:val="false"/>
          <w:sz w:val="20"/>
        </w:rPr>
        <w:t xml:space="preserve">the Company filed suit against AstraZeneca Pharmaceuticals, LP, AstraZeneca AB, and AstraZeneca PLC for infringement of United States Patent Nos. </w:t>
      </w:r>
      <w:r>
        <w:rPr>
          <w:rStyle w:val="Emphasis"/>
          <w:rFonts w:ascii="Times New Roman" w:hAnsi="Times New Roman"/>
          <w:caps w:val="false"/>
          <w:smallCaps w:val="false"/>
          <w:sz w:val="20"/>
        </w:rPr>
        <w:t>10,603,314</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patent”) and </w:t>
      </w:r>
      <w:r>
        <w:rPr>
          <w:rStyle w:val="Emphasis"/>
          <w:rFonts w:ascii="Times New Roman" w:hAnsi="Times New Roman"/>
          <w:caps w:val="false"/>
          <w:smallCaps w:val="false"/>
          <w:sz w:val="20"/>
        </w:rPr>
        <w:t>10,596,162</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1:21CV01338</w:t>
      </w:r>
      <w:r>
        <w:rPr>
          <w:rFonts w:ascii="Times New Roman" w:hAnsi="Times New Roman"/>
          <w:caps w:val="false"/>
          <w:smallCaps w:val="false"/>
          <w:sz w:val="20"/>
        </w:rPr>
        <w:t xml:space="preserve"> (D. Del. </w:t>
      </w:r>
      <w:r>
        <w:rPr>
          <w:rStyle w:val="Emphasis"/>
          <w:rFonts w:ascii="Times New Roman" w:hAnsi="Times New Roman"/>
          <w:caps w:val="false"/>
          <w:smallCaps w:val="false"/>
          <w:sz w:val="20"/>
        </w:rPr>
        <w:t xml:space="preserve">Sep. 22, 2021)). </w:t>
      </w:r>
      <w:r>
        <w:rPr>
          <w:rFonts w:ascii="Times New Roman" w:hAnsi="Times New Roman"/>
          <w:caps w:val="false"/>
          <w:smallCaps w:val="false"/>
          <w:sz w:val="20"/>
        </w:rPr>
        <w:t xml:space="preserve">The Company’s complaint alleges that AstraZeneca’s commercial manufacture, use, offer for sale, sale, distribution, and/or importation of Tagrisso® (osimertinib) products for the treatment of gefitinib and/or erlotinib-resistant non-small cell lung cancer infringes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The Company is an exclusive licensee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w:t>
      </w:r>
      <w:r>
        <w:rPr>
          <w:rStyle w:val="Emphasis"/>
          <w:rFonts w:ascii="Times New Roman" w:hAnsi="Times New Roman"/>
          <w:caps w:val="false"/>
          <w:smallCaps w:val="false"/>
          <w:sz w:val="20"/>
        </w:rPr>
        <w:t xml:space="preserve">November 5, 2021, </w:t>
      </w:r>
      <w:r>
        <w:rPr>
          <w:rFonts w:ascii="Times New Roman" w:hAnsi="Times New Roman"/>
          <w:caps w:val="false"/>
          <w:smallCaps w:val="false"/>
          <w:sz w:val="20"/>
        </w:rPr>
        <w:t xml:space="preserve">including claims challenging the asserted patents 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infringed and/or invalid, and accusing plaintiffs of unclean hands and patent misuse. The parties stipulated to dismiss AstraZeneca PLC as a defendant and Pfizer as a Counterclaim Defendant on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 xml:space="preserve">which the Court so ordered on </w:t>
      </w:r>
      <w:r>
        <w:rPr>
          <w:rStyle w:val="Emphasis"/>
          <w:rFonts w:ascii="Times New Roman" w:hAnsi="Times New Roman"/>
          <w:caps w:val="false"/>
          <w:smallCaps w:val="false"/>
          <w:sz w:val="20"/>
        </w:rPr>
        <w:t xml:space="preserve">December 13, 2021. </w:t>
      </w:r>
      <w:r>
        <w:rPr>
          <w:rFonts w:ascii="Times New Roman" w:hAnsi="Times New Roman"/>
          <w:caps w:val="false"/>
          <w:smallCaps w:val="false"/>
          <w:sz w:val="20"/>
        </w:rPr>
        <w:t xml:space="preserve">The Company filed its answer to AstraZeneca’s counterclaims on </w:t>
      </w:r>
      <w:r>
        <w:rPr>
          <w:rStyle w:val="Emphasis"/>
          <w:rFonts w:ascii="Times New Roman" w:hAnsi="Times New Roman"/>
          <w:caps w:val="false"/>
          <w:smallCaps w:val="false"/>
          <w:sz w:val="20"/>
        </w:rPr>
        <w:t xml:space="preserve">December 17, 2021, </w:t>
      </w:r>
      <w:r>
        <w:rPr>
          <w:rFonts w:ascii="Times New Roman" w:hAnsi="Times New Roman"/>
          <w:caps w:val="false"/>
          <w:smallCaps w:val="false"/>
          <w:sz w:val="20"/>
        </w:rPr>
        <w:t xml:space="preserve">denying those claims. The case was reassigned to visiting Judge Matthew Kennelly of the Northern District of Illinois. A Markman Hearing was conducted on </w:t>
      </w:r>
      <w:r>
        <w:rPr>
          <w:rStyle w:val="Emphasis"/>
          <w:rFonts w:ascii="Times New Roman" w:hAnsi="Times New Roman"/>
          <w:caps w:val="false"/>
          <w:smallCaps w:val="false"/>
          <w:sz w:val="20"/>
        </w:rPr>
        <w:t xml:space="preserve">March 17, 2023, </w:t>
      </w:r>
      <w:r>
        <w:rPr>
          <w:rFonts w:ascii="Times New Roman" w:hAnsi="Times New Roman"/>
          <w:caps w:val="false"/>
          <w:smallCaps w:val="false"/>
          <w:sz w:val="20"/>
        </w:rPr>
        <w:t xml:space="preserve">and the Court issued its claim construction decision 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Fact discovery closed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and expert discovery closed on </w:t>
      </w:r>
      <w:r>
        <w:rPr>
          <w:rStyle w:val="Emphasis"/>
          <w:rFonts w:ascii="Times New Roman" w:hAnsi="Times New Roman"/>
          <w:caps w:val="false"/>
          <w:smallCaps w:val="false"/>
          <w:sz w:val="20"/>
        </w:rPr>
        <w:t xml:space="preserve">November 17, 2023. </w:t>
      </w:r>
      <w:r>
        <w:rPr>
          <w:rFonts w:ascii="Times New Roman" w:hAnsi="Times New Roman"/>
          <w:caps w:val="false"/>
          <w:smallCaps w:val="false"/>
          <w:sz w:val="20"/>
        </w:rPr>
        <w:t xml:space="preserve">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w:t>
      </w:r>
      <w:r>
        <w:rPr>
          <w:rStyle w:val="Emphasis"/>
          <w:rFonts w:ascii="Times New Roman" w:hAnsi="Times New Roman"/>
          <w:caps w:val="false"/>
          <w:smallCaps w:val="false"/>
          <w:sz w:val="20"/>
        </w:rPr>
        <w:t xml:space="preserve">March 18,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orders. A jury trial was held </w:t>
      </w:r>
      <w:r>
        <w:rPr>
          <w:rStyle w:val="Emphasis"/>
          <w:rFonts w:ascii="Times New Roman" w:hAnsi="Times New Roman"/>
          <w:caps w:val="false"/>
          <w:smallCaps w:val="false"/>
          <w:sz w:val="20"/>
        </w:rPr>
        <w:t>May 13-17,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jury found in favor of Wyeth and against AstraZeneca. In particular, the jury found that use of Tagrisso® according to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FDA-approved indications infringes the asserted claims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and that AstraZeneca induces that infringement. The jury further rejected AstraZeneca’s challenges to the validity of the patents, finding that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invalid. The jury awarded damages to Wyeth for past acts of infringement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in the amount of $107,500,000. A separate bench trial related to certain equitable claims and defenses raised by AstraZeneca was held before Judge Kennelly on </w:t>
      </w:r>
      <w:r>
        <w:rPr>
          <w:rStyle w:val="Emphasis"/>
          <w:rFonts w:ascii="Times New Roman" w:hAnsi="Times New Roman"/>
          <w:caps w:val="false"/>
          <w:smallCaps w:val="false"/>
          <w:sz w:val="20"/>
        </w:rPr>
        <w:t xml:space="preserve">June 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 xml:space="preserve">Judge Kennelly issued his ruling on the issues that were tried in the bench trial, finding for Wyeth and against AstraZeneca on all claims and defenses. The Court found that AstraZeneca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through the date of judgment; pre-and-post judgment interest, and ongoing royalties through the remaining term of the patents. Briefing on these motions from both sides was completed on </w:t>
      </w:r>
      <w:r>
        <w:rPr>
          <w:rStyle w:val="Emphasis"/>
          <w:rFonts w:ascii="Times New Roman" w:hAnsi="Times New Roman"/>
          <w:caps w:val="false"/>
          <w:smallCaps w:val="false"/>
          <w:sz w:val="20"/>
        </w:rPr>
        <w:t>July 16,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Judge Kennelly ruled on AstraZeneca’s motion challenging the jury’s verdict, granting it in part and denying it in part. The Court granted AstraZeneca’s motion for judgment as a matter of law that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are invalid under </w:t>
      </w:r>
      <w:r>
        <w:rPr>
          <w:rStyle w:val="Emphasis"/>
          <w:rFonts w:ascii="Times New Roman" w:hAnsi="Times New Roman"/>
          <w:caps w:val="false"/>
          <w:smallCaps w:val="false"/>
          <w:sz w:val="20"/>
        </w:rPr>
        <w:t>35</w:t>
      </w:r>
      <w:r>
        <w:rPr>
          <w:rFonts w:ascii="Times New Roman" w:hAnsi="Times New Roman"/>
          <w:caps w:val="false"/>
          <w:smallCaps w:val="false"/>
          <w:sz w:val="20"/>
        </w:rPr>
        <w:t xml:space="preserve"> U.S.C. §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w:t>
      </w:r>
      <w:r>
        <w:rPr>
          <w:rStyle w:val="Emphasis"/>
          <w:rFonts w:ascii="Times New Roman" w:hAnsi="Times New Roman"/>
          <w:caps w:val="false"/>
          <w:smallCaps w:val="false"/>
          <w:sz w:val="20"/>
        </w:rPr>
        <w:t xml:space="preserve">September 12, 2024, </w:t>
      </w:r>
      <w:r>
        <w:rPr>
          <w:rFonts w:ascii="Times New Roman" w:hAnsi="Times New Roman"/>
          <w:caps w:val="false"/>
          <w:smallCaps w:val="false"/>
          <w:sz w:val="20"/>
        </w:rPr>
        <w:t xml:space="preserve">appealing the District Court’s judgment as a matter of law, as well as other rulings and opinions of the Court adverse to Wyeth. On </w:t>
      </w:r>
      <w:r>
        <w:rPr>
          <w:rStyle w:val="Emphasis"/>
          <w:rFonts w:ascii="Times New Roman" w:hAnsi="Times New Roman"/>
          <w:caps w:val="false"/>
          <w:smallCaps w:val="false"/>
          <w:sz w:val="20"/>
        </w:rPr>
        <w:t xml:space="preserve">December 18, 2024, </w:t>
      </w:r>
      <w:r>
        <w:rPr>
          <w:rFonts w:ascii="Times New Roman" w:hAnsi="Times New Roman"/>
          <w:caps w:val="false"/>
          <w:smallCaps w:val="false"/>
          <w:sz w:val="20"/>
        </w:rPr>
        <w:t xml:space="preserve">Wyeth filed its opening brief. 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AstraZeneca filed its response brief.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non-parties Regeneron Pharmaceuticals, Inc. and Sanofi-Aventis U.S. LLC filed a motion for leave to file an amicus curiae brief in the Federal Circuit. The motion was granted on </w:t>
      </w:r>
      <w:r>
        <w:rPr>
          <w:rStyle w:val="Emphasis"/>
          <w:rFonts w:ascii="Times New Roman" w:hAnsi="Times New Roman"/>
          <w:caps w:val="false"/>
          <w:smallCaps w:val="false"/>
          <w:sz w:val="20"/>
        </w:rPr>
        <w:t xml:space="preserve">May 16,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Wyeth filed its reply brief. Briefing on the appeal is now complete, and the parties await further order from the Court.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pPr>
      <w:r>
        <w:rPr>
          <w:rFonts w:ascii="Times New Roman" w:hAnsi="Times New Roman"/>
          <w:caps w:val="false"/>
          <w:smallCaps w:val="false"/>
          <w:sz w:val="20"/>
        </w:rPr>
        <w:t xml:space="preserve">F- </w:t>
      </w:r>
      <w:r>
        <w:rPr>
          <w:rStyle w:val="Emphasis"/>
          <w:rFonts w:ascii="Times New Roman" w:hAnsi="Times New Roman"/>
          <w:caps w:val="false"/>
          <w:smallCaps w:val="false"/>
          <w:sz w:val="20"/>
        </w:rPr>
        <w:t>29</w:t>
      </w:r>
      <w:r>
        <w:rPr>
          <w:rFonts w:ascii="Times New Roman" w:hAnsi="Times New Roman"/>
          <w:caps w:val="false"/>
          <w:smallCaps w:val="false"/>
          <w:sz w:val="20"/>
        </w:rPr>
        <w:t xml:space="preserve"> </w:t>
      </w:r>
    </w:p>
    <w:p>
      <w:pPr>
        <w:pStyle w:val="HorizontalLine"/>
        <w:bidi w:val="0"/>
        <w:ind w:left="0" w:right="0" w:firstLine="540"/>
        <w:jc w:val="left"/>
        <w:rPr/>
      </w:pPr>
      <w:r>
        <w:rPr/>
      </w:r>
    </w:p>
    <w:p>
      <w:pPr>
        <w:pStyle w:val="TextBody"/>
        <w:bidi w:val="0"/>
        <w:spacing w:before="0" w:after="0"/>
        <w:ind w:left="0" w:right="0" w:firstLine="540"/>
        <w:jc w:val="left"/>
        <w:rPr/>
      </w:pPr>
      <w:hyperlink w:anchor="toc">
        <w:r>
          <w:rPr>
            <w:rStyle w:val="InternetLink"/>
            <w:rFonts w:ascii="Times New Roman;Times;serif" w:hAnsi="Times New Roman;Times;serif"/>
            <w:caps w:val="false"/>
            <w:smallCaps w:val="false"/>
            <w:sz w:val="20"/>
          </w:rPr>
          <w:t>Table of Contents</w:t>
        </w:r>
      </w:hyperlink>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18, 2022, </w:t>
      </w:r>
      <w:r>
        <w:rPr>
          <w:rFonts w:ascii="Times New Roman" w:hAnsi="Times New Roman"/>
          <w:caps w:val="false"/>
          <w:smallCaps w:val="false"/>
          <w:sz w:val="20"/>
        </w:rPr>
        <w:t xml:space="preserve">Shanghai Acebright Pharmaceuticals Group Co., Ltd. (“Acebright”) filed an abbreviated new drug application (“ANDA”) with the National Medical Products Administration in China (“NMPA”) seeking approval to market a generic version of the Company’s NERLYNX® (neratinib) tablet, </w:t>
      </w:r>
      <w:r>
        <w:rPr>
          <w:rStyle w:val="Emphasis"/>
          <w:rFonts w:ascii="Times New Roman" w:hAnsi="Times New Roman"/>
          <w:caps w:val="false"/>
          <w:smallCaps w:val="false"/>
          <w:sz w:val="20"/>
        </w:rPr>
        <w:t>40mg</w:t>
      </w:r>
      <w:r>
        <w:rPr>
          <w:rFonts w:ascii="Times New Roman" w:hAnsi="Times New Roman"/>
          <w:caps w:val="false"/>
          <w:smallCaps w:val="false"/>
          <w:sz w:val="20"/>
        </w:rPr>
        <w:t xml:space="preserve"> in China. Acebright seeks approval prior to the expiration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patents listed on the China Patent Information Registration Platform for Marketed Drugs (“Chinese Orange Book”), namely,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collectively, the “NERLYNX® Patents”), alleging in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patent declaration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NERLYNX® Patents listed in the Chinese Orange Book. The patent declaration of Acebright was published in the Chinese Orange Book on </w:t>
      </w:r>
      <w:r>
        <w:rPr>
          <w:rStyle w:val="Emphasis"/>
          <w:rFonts w:ascii="Times New Roman" w:hAnsi="Times New Roman"/>
          <w:caps w:val="false"/>
          <w:smallCaps w:val="false"/>
          <w:sz w:val="20"/>
        </w:rPr>
        <w:t xml:space="preserve">January 19,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2022, </w:t>
      </w:r>
      <w:r>
        <w:rPr>
          <w:rFonts w:ascii="Times New Roman" w:hAnsi="Times New Roman"/>
          <w:caps w:val="false"/>
          <w:smallCaps w:val="false"/>
          <w:sz w:val="20"/>
        </w:rPr>
        <w:t xml:space="preserve">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w:t>
      </w:r>
      <w:r>
        <w:rPr>
          <w:rStyle w:val="Emphasis"/>
          <w:rFonts w:ascii="Times New Roman" w:hAnsi="Times New Roman"/>
          <w:caps w:val="false"/>
          <w:smallCaps w:val="false"/>
          <w:sz w:val="20"/>
        </w:rPr>
        <w:t xml:space="preserve">March 18, 2022. </w:t>
      </w:r>
      <w:r>
        <w:rPr>
          <w:rFonts w:ascii="Times New Roman" w:hAnsi="Times New Roman"/>
          <w:caps w:val="false"/>
          <w:smallCaps w:val="false"/>
          <w:sz w:val="20"/>
        </w:rPr>
        <w:t xml:space="preserve">The Company has notified NMPA of the acceptance of the request for administrative determination for NMPA to institute a stay of Acebright’s ANDA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On </w:t>
      </w:r>
      <w:r>
        <w:rPr>
          <w:rStyle w:val="Emphasis"/>
          <w:rFonts w:ascii="Times New Roman" w:hAnsi="Times New Roman"/>
          <w:caps w:val="false"/>
          <w:smallCaps w:val="false"/>
          <w:sz w:val="20"/>
        </w:rPr>
        <w:t xml:space="preserve">July 11, 2022, </w:t>
      </w:r>
      <w:r>
        <w:rPr>
          <w:rFonts w:ascii="Times New Roman" w:hAnsi="Times New Roman"/>
          <w:caps w:val="false"/>
          <w:smallCaps w:val="false"/>
          <w:sz w:val="20"/>
        </w:rPr>
        <w:t xml:space="preserve">CNIPA decided that claims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September 9, 2022, </w:t>
      </w:r>
      <w:r>
        <w:rPr>
          <w:rFonts w:ascii="Times New Roman" w:hAnsi="Times New Roman"/>
          <w:caps w:val="false"/>
          <w:smallCaps w:val="false"/>
          <w:sz w:val="20"/>
        </w:rPr>
        <w:t xml:space="preserve">CNIPA decided that the generic drug in Acebright’s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CNIPA administrative decisions on NERLYNX® Patents have lifted the stay of Acebright’s ANDA by NMPA. The Company has appealed each CNIPA administrative decision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at the Beijing Intellectual Property Court (“BJIPC”).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appeals were accepted by BJIPC on </w:t>
      </w:r>
      <w:r>
        <w:rPr>
          <w:rStyle w:val="Emphasis"/>
          <w:rFonts w:ascii="Times New Roman" w:hAnsi="Times New Roman"/>
          <w:caps w:val="false"/>
          <w:smallCaps w:val="false"/>
          <w:sz w:val="20"/>
        </w:rPr>
        <w:t xml:space="preserve">February 20, 2023. </w:t>
      </w:r>
      <w:r>
        <w:rPr>
          <w:rFonts w:ascii="Times New Roman" w:hAnsi="Times New Roman"/>
          <w:caps w:val="false"/>
          <w:smallCaps w:val="false"/>
          <w:sz w:val="20"/>
        </w:rPr>
        <w:t xml:space="preserve">The Company also filed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civil complaints based on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NERLYNX® Patents against Acebright with the BJIPC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and requested court determination that Acebright’s generic neratinib tablet falls within the scope of the claims of NERLYNX® Patents. On </w:t>
      </w:r>
      <w:r>
        <w:rPr>
          <w:rStyle w:val="Emphasis"/>
          <w:rFonts w:ascii="Times New Roman" w:hAnsi="Times New Roman"/>
          <w:caps w:val="false"/>
          <w:smallCaps w:val="false"/>
          <w:sz w:val="20"/>
        </w:rPr>
        <w:t xml:space="preserve">May 6, 2023, </w:t>
      </w:r>
      <w:r>
        <w:rPr>
          <w:rFonts w:ascii="Times New Roman" w:hAnsi="Times New Roman"/>
          <w:caps w:val="false"/>
          <w:smallCaps w:val="false"/>
          <w:sz w:val="20"/>
        </w:rPr>
        <w:t xml:space="preserve">the Company withdrew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civil lawsuits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appeals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May 24,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July 24,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remaining civil lawsuit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appeal in relation to Chinese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August 15,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NMPA approved Acebright’s ANDA to market a generic version of the Company’s NERLYNX® in China with the approval number of GuoYaoZhunZi </w:t>
      </w:r>
      <w:r>
        <w:rPr>
          <w:rStyle w:val="Emphasis"/>
          <w:rFonts w:ascii="Times New Roman" w:hAnsi="Times New Roman"/>
          <w:caps w:val="false"/>
          <w:smallCaps w:val="false"/>
          <w:sz w:val="20"/>
        </w:rPr>
        <w:t>H20234141.</w:t>
      </w:r>
      <w:r>
        <w:rPr>
          <w:rFonts w:ascii="Times New Roman" w:hAnsi="Times New Roman"/>
          <w:caps w:val="false"/>
          <w:smallCaps w:val="false"/>
          <w:sz w:val="20"/>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Company filed a civil lawsuit against Acebright for infringement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under Article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of the Chinese Patent Law before Jiangsu Nanjing Intermediate People’s Court. The Company’s complaint alleges that Acebright’s offer for sale of a generic version of the Company’s NERLYNX®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The Company seeks a judgment that Acebright’s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Acebright’s act of offer for sale shall be enjoined. 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 xml:space="preserve">Jiangsu Nanjing Intermediate People’s Court accepted the civil complaint. An oral hearing was held on </w:t>
      </w:r>
      <w:r>
        <w:rPr>
          <w:rStyle w:val="Emphasis"/>
          <w:rFonts w:ascii="Times New Roman" w:hAnsi="Times New Roman"/>
          <w:caps w:val="false"/>
          <w:smallCaps w:val="false"/>
          <w:sz w:val="20"/>
        </w:rPr>
        <w:t xml:space="preserve">June 19, 2024, </w:t>
      </w:r>
      <w:r>
        <w:rPr>
          <w:rFonts w:ascii="Times New Roman" w:hAnsi="Times New Roman"/>
          <w:caps w:val="false"/>
          <w:smallCaps w:val="false"/>
          <w:sz w:val="20"/>
        </w:rPr>
        <w:t xml:space="preserve">during which the Company amended its complaint to allege that Acebright making, selling and offering to sell the generic version of NERLYNX®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On </w:t>
      </w:r>
      <w:r>
        <w:rPr>
          <w:rStyle w:val="Emphasis"/>
          <w:rFonts w:ascii="Times New Roman" w:hAnsi="Times New Roman"/>
          <w:caps w:val="false"/>
          <w:smallCaps w:val="false"/>
          <w:sz w:val="20"/>
        </w:rPr>
        <w:t xml:space="preserve">July 24, 2024, </w:t>
      </w:r>
      <w:r>
        <w:rPr>
          <w:rFonts w:ascii="Times New Roman" w:hAnsi="Times New Roman"/>
          <w:caps w:val="false"/>
          <w:smallCaps w:val="false"/>
          <w:sz w:val="20"/>
        </w:rPr>
        <w:t xml:space="preserve">the Company submitted a request to withdraw the lawsuit. On </w:t>
      </w:r>
      <w:r>
        <w:rPr>
          <w:rStyle w:val="Emphasis"/>
          <w:rFonts w:ascii="Times New Roman" w:hAnsi="Times New Roman"/>
          <w:caps w:val="false"/>
          <w:smallCaps w:val="false"/>
          <w:sz w:val="20"/>
        </w:rPr>
        <w:t xml:space="preserve">August 8, 2024, </w:t>
      </w:r>
      <w:r>
        <w:rPr>
          <w:rFonts w:ascii="Times New Roman" w:hAnsi="Times New Roman"/>
          <w:caps w:val="false"/>
          <w:smallCaps w:val="false"/>
          <w:sz w:val="20"/>
        </w:rPr>
        <w:t>Jiangsu Nanjing Intermediate People’s Court accepted the withdrawal request.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27, 2024, </w:t>
      </w:r>
      <w:r>
        <w:rPr>
          <w:rFonts w:ascii="Times New Roman" w:hAnsi="Times New Roman"/>
          <w:caps w:val="false"/>
          <w:smallCaps w:val="false"/>
          <w:sz w:val="20"/>
        </w:rPr>
        <w:t xml:space="preserve">the Company filed an additional claim of infringement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against Acebright at Jiangsu Nanjing Intermediate People’s Court. On </w:t>
      </w:r>
      <w:r>
        <w:rPr>
          <w:rStyle w:val="Emphasis"/>
          <w:rFonts w:ascii="Times New Roman" w:hAnsi="Times New Roman"/>
          <w:caps w:val="false"/>
          <w:smallCaps w:val="false"/>
          <w:sz w:val="20"/>
        </w:rPr>
        <w:t xml:space="preserve">October 14, 2024, </w:t>
      </w:r>
      <w:r>
        <w:rPr>
          <w:rFonts w:ascii="Times New Roman" w:hAnsi="Times New Roman"/>
          <w:caps w:val="false"/>
          <w:smallCaps w:val="false"/>
          <w:sz w:val="20"/>
        </w:rPr>
        <w:t>the Court accepted the complaint and designated case number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Su </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Min Chu </w:t>
      </w:r>
      <w:r>
        <w:rPr>
          <w:rStyle w:val="Emphasis"/>
          <w:rFonts w:ascii="Times New Roman" w:hAnsi="Times New Roman"/>
          <w:caps w:val="false"/>
          <w:smallCaps w:val="false"/>
          <w:sz w:val="20"/>
        </w:rPr>
        <w:t>2192</w:t>
      </w:r>
      <w:r>
        <w:rPr>
          <w:rFonts w:ascii="Times New Roman" w:hAnsi="Times New Roman"/>
          <w:caps w:val="false"/>
          <w:smallCaps w:val="false"/>
          <w:sz w:val="20"/>
        </w:rPr>
        <w:t xml:space="preserve"> to this case. On </w:t>
      </w:r>
      <w:r>
        <w:rPr>
          <w:rStyle w:val="Emphasis"/>
          <w:rFonts w:ascii="Times New Roman" w:hAnsi="Times New Roman"/>
          <w:caps w:val="false"/>
          <w:smallCaps w:val="false"/>
          <w:sz w:val="20"/>
        </w:rPr>
        <w:t xml:space="preserve">December 16, 2024, </w:t>
      </w:r>
      <w:r>
        <w:rPr>
          <w:rFonts w:ascii="Times New Roman" w:hAnsi="Times New Roman"/>
          <w:caps w:val="false"/>
          <w:smallCaps w:val="false"/>
          <w:sz w:val="20"/>
        </w:rPr>
        <w:t xml:space="preserve">the Court conducted an evidence exchange hearing. On </w:t>
      </w:r>
      <w:r>
        <w:rPr>
          <w:rStyle w:val="Emphasis"/>
          <w:rFonts w:ascii="Times New Roman" w:hAnsi="Times New Roman"/>
          <w:caps w:val="false"/>
          <w:smallCaps w:val="false"/>
          <w:sz w:val="20"/>
        </w:rPr>
        <w:t xml:space="preserve">January 10, 2025, </w:t>
      </w:r>
      <w:r>
        <w:rPr>
          <w:rFonts w:ascii="Times New Roman" w:hAnsi="Times New Roman"/>
          <w:caps w:val="false"/>
          <w:smallCaps w:val="false"/>
          <w:sz w:val="20"/>
        </w:rPr>
        <w:t xml:space="preserve">the Court conducted a hearing of party experts on the evaluation of evidence. On </w:t>
      </w:r>
      <w:r>
        <w:rPr>
          <w:rStyle w:val="Emphasis"/>
          <w:rFonts w:ascii="Times New Roman" w:hAnsi="Times New Roman"/>
          <w:caps w:val="false"/>
          <w:smallCaps w:val="false"/>
          <w:sz w:val="20"/>
        </w:rPr>
        <w:t xml:space="preserve">July 14, 2025, </w:t>
      </w:r>
      <w:r>
        <w:rPr>
          <w:rFonts w:ascii="Times New Roman" w:hAnsi="Times New Roman"/>
          <w:caps w:val="false"/>
          <w:smallCaps w:val="false"/>
          <w:sz w:val="20"/>
        </w:rPr>
        <w:t xml:space="preserve">the Court conducted a hearing to examine evidence and debate merits of party arguments. On </w:t>
      </w:r>
      <w:r>
        <w:rPr>
          <w:rStyle w:val="Emphasis"/>
          <w:rFonts w:ascii="Times New Roman" w:hAnsi="Times New Roman"/>
          <w:caps w:val="false"/>
          <w:smallCaps w:val="false"/>
          <w:sz w:val="20"/>
        </w:rPr>
        <w:t xml:space="preserve">September 28, 2025, </w:t>
      </w:r>
      <w:r>
        <w:rPr>
          <w:rFonts w:ascii="Times New Roman" w:hAnsi="Times New Roman"/>
          <w:caps w:val="false"/>
          <w:smallCaps w:val="false"/>
          <w:sz w:val="20"/>
        </w:rPr>
        <w:t xml:space="preserve">the Court issued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-instance decision, deciding that Acebright’s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Acebright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the Court also decided that the Company’s enforcement efforts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malicious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amount to unfair competition.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17, 2022, </w:t>
      </w:r>
      <w:r>
        <w:rPr>
          <w:rFonts w:ascii="Times New Roman" w:hAnsi="Times New Roman"/>
          <w:caps w:val="false"/>
          <w:smallCaps w:val="false"/>
          <w:sz w:val="20"/>
        </w:rPr>
        <w:t xml:space="preserve">Jiangsu Aosaikang Pharmaceutical Co. Ltd. (“Aosaikang”)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CYHS2202006.</w:t>
      </w:r>
      <w:r>
        <w:rPr>
          <w:rFonts w:ascii="Times New Roman" w:hAnsi="Times New Roman"/>
          <w:caps w:val="false"/>
          <w:smallCaps w:val="false"/>
          <w:sz w:val="20"/>
        </w:rPr>
        <w:t xml:space="preserve"> Aosaikang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Aosaikang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2022,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Aosaikang ANDA with the CNIPA and requested administrative determination that Aosaikang’s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Aosaikang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Aosaikang’s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Aosaikang’s ANDA by NMPA. On </w:t>
      </w:r>
      <w:r>
        <w:rPr>
          <w:rStyle w:val="Emphasis"/>
          <w:rFonts w:ascii="Times New Roman" w:hAnsi="Times New Roman"/>
          <w:caps w:val="false"/>
          <w:smallCaps w:val="false"/>
          <w:sz w:val="20"/>
        </w:rPr>
        <w:t xml:space="preserve">October 22, 2024, </w:t>
      </w:r>
      <w:r>
        <w:rPr>
          <w:rFonts w:ascii="Times New Roman" w:hAnsi="Times New Roman"/>
          <w:caps w:val="false"/>
          <w:smallCaps w:val="false"/>
          <w:sz w:val="20"/>
        </w:rPr>
        <w:t xml:space="preserve">the NMPA approved Aosaikang’s ANDA to market a generic version of the Company’s NERLYNX® in China with the approval number of GuoYaoZhunZi </w:t>
      </w:r>
      <w:r>
        <w:rPr>
          <w:rStyle w:val="Emphasis"/>
          <w:rFonts w:ascii="Times New Roman" w:hAnsi="Times New Roman"/>
          <w:caps w:val="false"/>
          <w:smallCaps w:val="false"/>
          <w:sz w:val="20"/>
        </w:rPr>
        <w:t>H20249180.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Convalife Pharmaceuticals (Shanghai) Co., Ltd (“Convalife”)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CYHS2202095.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December 23, 2022, </w:t>
      </w:r>
      <w:r>
        <w:rPr>
          <w:rFonts w:ascii="Times New Roman" w:hAnsi="Times New Roman"/>
          <w:caps w:val="false"/>
          <w:smallCaps w:val="false"/>
          <w:sz w:val="20"/>
        </w:rPr>
        <w:t xml:space="preserve">Convalife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Convalife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pPr>
      <w:r>
        <w:rPr>
          <w:rFonts w:ascii="Times New Roman" w:hAnsi="Times New Roman"/>
          <w:caps w:val="false"/>
          <w:smallCaps w:val="false"/>
          <w:sz w:val="20"/>
        </w:rPr>
        <w:t xml:space="preserve">F-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w:t>
      </w:r>
    </w:p>
    <w:p>
      <w:pPr>
        <w:pStyle w:val="HorizontalLine"/>
        <w:bidi w:val="0"/>
        <w:ind w:left="0" w:right="0" w:firstLine="540"/>
        <w:jc w:val="left"/>
        <w:rPr/>
      </w:pPr>
      <w:r>
        <w:rPr/>
      </w:r>
    </w:p>
    <w:p>
      <w:pPr>
        <w:pStyle w:val="TextBody"/>
        <w:bidi w:val="0"/>
        <w:spacing w:before="0" w:after="0"/>
        <w:ind w:left="0" w:right="0" w:firstLine="540"/>
        <w:jc w:val="left"/>
        <w:rPr/>
      </w:pPr>
      <w:hyperlink w:anchor="toc">
        <w:r>
          <w:rPr>
            <w:rStyle w:val="InternetLink"/>
            <w:rFonts w:ascii="Times New Roman;Times;serif" w:hAnsi="Times New Roman;Times;serif"/>
            <w:caps w:val="false"/>
            <w:smallCaps w:val="false"/>
            <w:sz w:val="20"/>
          </w:rPr>
          <w:t>Table of Contents</w:t>
        </w:r>
      </w:hyperlink>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Convalife ANDA with the CNIPA and requested administrative determination that Convalife’s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Convalife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Convalife’s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Convalife’s ANDA by NMPA. On </w:t>
      </w:r>
      <w:r>
        <w:rPr>
          <w:rStyle w:val="Emphasis"/>
          <w:rFonts w:ascii="Times New Roman" w:hAnsi="Times New Roman"/>
          <w:caps w:val="false"/>
          <w:smallCaps w:val="false"/>
          <w:sz w:val="20"/>
        </w:rPr>
        <w:t xml:space="preserve">June 28, 2024, </w:t>
      </w:r>
      <w:r>
        <w:rPr>
          <w:rFonts w:ascii="Times New Roman" w:hAnsi="Times New Roman"/>
          <w:caps w:val="false"/>
          <w:smallCaps w:val="false"/>
          <w:sz w:val="20"/>
        </w:rPr>
        <w:t xml:space="preserve">the NMPA approved Convalife’s ANDA to market a generic version of the Company’s NERLYNX® in China with the approval number of GuoYaoZhunZi </w:t>
      </w:r>
      <w:r>
        <w:rPr>
          <w:rStyle w:val="Emphasis"/>
          <w:rFonts w:ascii="Times New Roman" w:hAnsi="Times New Roman"/>
          <w:caps w:val="false"/>
          <w:smallCaps w:val="false"/>
          <w:sz w:val="20"/>
        </w:rPr>
        <w:t>H20244222.</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Hunan Kelun Pharmaceutical Co., Ltd. (“Kelun”)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CYHS2300221.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Kelun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Kelun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Kelun ANDA with the CNIPA and requested administrative determination that Kelun’s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March 21,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March 24,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17,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Kelun’s ANDA starting from the CNIPA’s acceptance of the Company’s request for administrative determination. On </w:t>
      </w:r>
      <w:r>
        <w:rPr>
          <w:rStyle w:val="Emphasis"/>
          <w:rFonts w:ascii="Times New Roman" w:hAnsi="Times New Roman"/>
          <w:caps w:val="false"/>
          <w:smallCaps w:val="false"/>
          <w:sz w:val="20"/>
        </w:rPr>
        <w:t xml:space="preserve">September 14,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requests for administrative determination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CNIPA. On </w:t>
      </w:r>
      <w:r>
        <w:rPr>
          <w:rStyle w:val="Emphasis"/>
          <w:rFonts w:ascii="Times New Roman" w:hAnsi="Times New Roman"/>
          <w:caps w:val="false"/>
          <w:smallCaps w:val="false"/>
          <w:sz w:val="20"/>
        </w:rPr>
        <w:t xml:space="preserve">September 25, 2023, </w:t>
      </w:r>
      <w:r>
        <w:rPr>
          <w:rFonts w:ascii="Times New Roman" w:hAnsi="Times New Roman"/>
          <w:caps w:val="false"/>
          <w:smallCaps w:val="false"/>
          <w:sz w:val="20"/>
        </w:rPr>
        <w:t xml:space="preserve">the CNIPA accepted the Company’s withdrawal request. On </w:t>
      </w:r>
      <w:r>
        <w:rPr>
          <w:rStyle w:val="Emphasis"/>
          <w:rFonts w:ascii="Times New Roman" w:hAnsi="Times New Roman"/>
          <w:caps w:val="false"/>
          <w:smallCaps w:val="false"/>
          <w:sz w:val="20"/>
        </w:rPr>
        <w:t xml:space="preserve">September 9, 2025, </w:t>
      </w:r>
      <w:r>
        <w:rPr>
          <w:rFonts w:ascii="Times New Roman" w:hAnsi="Times New Roman"/>
          <w:caps w:val="false"/>
          <w:smallCaps w:val="false"/>
          <w:sz w:val="20"/>
        </w:rPr>
        <w:t xml:space="preserve">the NMPA approved Kelun’s ANDA to market a generic version of the Company’s NERLYNX® in China with the approval number of GuoYaoZhunZi </w:t>
      </w:r>
      <w:r>
        <w:rPr>
          <w:rStyle w:val="Emphasis"/>
          <w:rFonts w:ascii="Times New Roman" w:hAnsi="Times New Roman"/>
          <w:caps w:val="false"/>
          <w:smallCaps w:val="false"/>
          <w:sz w:val="20"/>
        </w:rPr>
        <w:t>H20255337.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Zhengzhou Demai Pharmaceutical Co., Ltd (“Demai”)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CYHS2402776.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26, 2024, </w:t>
      </w:r>
      <w:r>
        <w:rPr>
          <w:rFonts w:ascii="Times New Roman" w:hAnsi="Times New Roman"/>
          <w:caps w:val="false"/>
          <w:smallCaps w:val="false"/>
          <w:sz w:val="20"/>
        </w:rPr>
        <w:t xml:space="preserve">Demai made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 against Orange Book Patent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this Orange Book patent. On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on </w:t>
      </w:r>
      <w:r>
        <w:rPr>
          <w:rStyle w:val="Emphasis"/>
          <w:rFonts w:ascii="Times New Roman" w:hAnsi="Times New Roman"/>
          <w:caps w:val="false"/>
          <w:smallCaps w:val="false"/>
          <w:sz w:val="20"/>
        </w:rPr>
        <w:t xml:space="preserve">October 8,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13, 2025, </w:t>
      </w:r>
      <w:r>
        <w:rPr>
          <w:rFonts w:ascii="Times New Roman" w:hAnsi="Times New Roman"/>
          <w:caps w:val="false"/>
          <w:smallCaps w:val="false"/>
          <w:sz w:val="20"/>
        </w:rPr>
        <w:t xml:space="preserve">the Company withdrew the lawsuits from BJIPC, filed an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 with the CNIPA against the Demai ANDA and requested administrative determination that Demai’s generic neratinib maleate tablet falls within the scope of the claims of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21, 2025, </w:t>
      </w:r>
      <w:r>
        <w:rPr>
          <w:rFonts w:ascii="Times New Roman" w:hAnsi="Times New Roman"/>
          <w:caps w:val="false"/>
          <w:smallCaps w:val="false"/>
          <w:sz w:val="20"/>
        </w:rPr>
        <w:t xml:space="preserve">the CNIPA accepted the Company’s petition and started examination. On </w:t>
      </w:r>
      <w:r>
        <w:rPr>
          <w:rStyle w:val="Emphasis"/>
          <w:rFonts w:ascii="Times New Roman" w:hAnsi="Times New Roman"/>
          <w:caps w:val="false"/>
          <w:smallCaps w:val="false"/>
          <w:sz w:val="20"/>
        </w:rPr>
        <w:t xml:space="preserve">March 18, 2025, </w:t>
      </w:r>
      <w:r>
        <w:rPr>
          <w:rFonts w:ascii="Times New Roman" w:hAnsi="Times New Roman"/>
          <w:caps w:val="false"/>
          <w:smallCaps w:val="false"/>
          <w:sz w:val="20"/>
        </w:rPr>
        <w:t xml:space="preserve">the Company filed a request with the NMPA to set up a </w:t>
      </w:r>
      <w:r>
        <w:rPr>
          <w:rStyle w:val="Emphasis"/>
          <w:rFonts w:ascii="Times New Roman" w:hAnsi="Times New Roman"/>
          <w:caps w:val="false"/>
          <w:smallCaps w:val="false"/>
          <w:sz w:val="20"/>
        </w:rPr>
        <w:t>nine</w:t>
      </w:r>
      <w:r>
        <w:rPr>
          <w:rFonts w:ascii="Times New Roman" w:hAnsi="Times New Roman"/>
          <w:caps w:val="false"/>
          <w:smallCaps w:val="false"/>
          <w:sz w:val="20"/>
        </w:rPr>
        <w:t>-month stay on Demai’s ANDA.</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60"/>
        <w:jc w:val="left"/>
        <w:rPr/>
      </w:pPr>
      <w:r>
        <w:rPr>
          <w:rFonts w:ascii="Times New Roman" w:hAnsi="Times New Roman"/>
          <w:caps w:val="false"/>
          <w:smallCaps w:val="false"/>
          <w:sz w:val="20"/>
        </w:rPr>
        <w:t xml:space="preserve">An opposition was filed by Hexal AG (“Hexal”) on </w:t>
      </w:r>
      <w:r>
        <w:rPr>
          <w:rStyle w:val="Emphasis"/>
          <w:rFonts w:ascii="Times New Roman" w:hAnsi="Times New Roman"/>
          <w:caps w:val="false"/>
          <w:smallCaps w:val="false"/>
          <w:sz w:val="20"/>
        </w:rPr>
        <w:t xml:space="preserve">August 3, 2016 </w:t>
      </w:r>
      <w:r>
        <w:rPr>
          <w:rFonts w:ascii="Times New Roman" w:hAnsi="Times New Roman"/>
          <w:caps w:val="false"/>
          <w:smallCaps w:val="false"/>
          <w:sz w:val="20"/>
        </w:rPr>
        <w:t xml:space="preserve">against European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EP2416774</w:t>
      </w:r>
      <w:r>
        <w:rPr>
          <w:rFonts w:ascii="Times New Roman" w:hAnsi="Times New Roman"/>
          <w:caps w:val="false"/>
          <w:smallCaps w:val="false"/>
          <w:sz w:val="20"/>
        </w:rPr>
        <w:t xml:space="preserve"> which was licensed from Pfizer in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and which claims neratinib for use in a method for treating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and improving IDFS, wherein the method comprises delivering neratinib therapy to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patients following the completion of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trastuzumab adjuvant therapy, and wherein the neratinib therapy comprises treating the cancer patients with neratinib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 oral hearing was held on </w:t>
      </w:r>
      <w:r>
        <w:rPr>
          <w:rStyle w:val="Emphasis"/>
          <w:rFonts w:ascii="Times New Roman" w:hAnsi="Times New Roman"/>
          <w:caps w:val="false"/>
          <w:smallCaps w:val="false"/>
          <w:sz w:val="20"/>
        </w:rPr>
        <w:t xml:space="preserve">December 8, 2017, </w:t>
      </w:r>
      <w:r>
        <w:rPr>
          <w:rFonts w:ascii="Times New Roman" w:hAnsi="Times New Roman"/>
          <w:caps w:val="false"/>
          <w:smallCaps w:val="false"/>
          <w:sz w:val="20"/>
        </w:rPr>
        <w:t xml:space="preserve">wherein the patent was maintained as granted. Following an appeal filed by Hexal, the Board of Appeal of the European Patent Office rejected the claims as granted and all pending auxiliary requests during the oral hearing of </w:t>
      </w:r>
      <w:r>
        <w:rPr>
          <w:rStyle w:val="Emphasis"/>
          <w:rFonts w:ascii="Times New Roman" w:hAnsi="Times New Roman"/>
          <w:caps w:val="false"/>
          <w:smallCaps w:val="false"/>
          <w:sz w:val="20"/>
        </w:rPr>
        <w:t xml:space="preserve">September 2, 2021. </w:t>
      </w:r>
      <w:r>
        <w:rPr>
          <w:rFonts w:ascii="Times New Roman" w:hAnsi="Times New Roman"/>
          <w:caps w:val="false"/>
          <w:smallCaps w:val="false"/>
          <w:sz w:val="20"/>
        </w:rPr>
        <w:t xml:space="preserve">Before issuance of a decision, we withdrew approval of the text in which the patent was granted and all pending auxiliary requests, thereby revoking the patent and concluding the appeal. One European divisional application, namely </w:t>
      </w:r>
      <w:r>
        <w:rPr>
          <w:rStyle w:val="Emphasis"/>
          <w:rFonts w:ascii="Times New Roman" w:hAnsi="Times New Roman"/>
          <w:caps w:val="false"/>
          <w:smallCaps w:val="false"/>
          <w:sz w:val="20"/>
        </w:rPr>
        <w:t>EP15188350.1,</w:t>
      </w:r>
      <w:r>
        <w:rPr>
          <w:rFonts w:ascii="Times New Roman" w:hAnsi="Times New Roman"/>
          <w:caps w:val="false"/>
          <w:smallCaps w:val="false"/>
          <w:sz w:val="20"/>
        </w:rPr>
        <w:t xml:space="preserve"> was granted with the European patent number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 xml:space="preserve">Oppositions against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were filed by Hexal on </w:t>
      </w:r>
      <w:r>
        <w:rPr>
          <w:rStyle w:val="Emphasis"/>
          <w:rFonts w:ascii="Times New Roman" w:hAnsi="Times New Roman"/>
          <w:caps w:val="false"/>
          <w:smallCaps w:val="false"/>
          <w:sz w:val="20"/>
        </w:rPr>
        <w:t xml:space="preserve">November 3, 2023, </w:t>
      </w:r>
      <w:r>
        <w:rPr>
          <w:rFonts w:ascii="Times New Roman" w:hAnsi="Times New Roman"/>
          <w:caps w:val="false"/>
          <w:smallCaps w:val="false"/>
          <w:sz w:val="20"/>
        </w:rPr>
        <w:t xml:space="preserve">by Alfred E. Tiefenbacher (GmbH &amp; Co. KG) on </w:t>
      </w:r>
      <w:r>
        <w:rPr>
          <w:rStyle w:val="Emphasis"/>
          <w:rFonts w:ascii="Times New Roman" w:hAnsi="Times New Roman"/>
          <w:caps w:val="false"/>
          <w:smallCaps w:val="false"/>
          <w:sz w:val="20"/>
        </w:rPr>
        <w:t xml:space="preserve">November 28, 2023 </w:t>
      </w:r>
      <w:r>
        <w:rPr>
          <w:rFonts w:ascii="Times New Roman" w:hAnsi="Times New Roman"/>
          <w:caps w:val="false"/>
          <w:smallCaps w:val="false"/>
          <w:sz w:val="20"/>
        </w:rPr>
        <w:t xml:space="preserve">and by Generics (UK) Limited (“Generics”) on </w:t>
      </w:r>
      <w:r>
        <w:rPr>
          <w:rStyle w:val="Emphasis"/>
          <w:rFonts w:ascii="Times New Roman" w:hAnsi="Times New Roman"/>
          <w:caps w:val="false"/>
          <w:smallCaps w:val="false"/>
          <w:sz w:val="20"/>
        </w:rPr>
        <w:t>December 1, 2023. EP3000467</w:t>
      </w:r>
      <w:r>
        <w:rPr>
          <w:rFonts w:ascii="Times New Roman" w:hAnsi="Times New Roman"/>
          <w:caps w:val="false"/>
          <w:smallCaps w:val="false"/>
          <w:sz w:val="20"/>
        </w:rPr>
        <w:t xml:space="preserve"> is used as the basic patent for Supplementary Protection Certificate applications for the EMA-approved NERLYNX® product,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of which have been granted,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proceedings have been stayed, and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are in active prosecution. The patentee response to the notice of opposition was filed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following which,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opponents filed additional arguments in reply to the patentee’s submission. On </w:t>
      </w:r>
      <w:r>
        <w:rPr>
          <w:rStyle w:val="Emphasis"/>
          <w:rFonts w:ascii="Times New Roman" w:hAnsi="Times New Roman"/>
          <w:caps w:val="false"/>
          <w:smallCaps w:val="false"/>
          <w:sz w:val="20"/>
        </w:rPr>
        <w:t xml:space="preserve">February 6, 2025, </w:t>
      </w:r>
      <w:r>
        <w:rPr>
          <w:rFonts w:ascii="Times New Roman" w:hAnsi="Times New Roman"/>
          <w:caps w:val="false"/>
          <w:smallCaps w:val="false"/>
          <w:sz w:val="20"/>
        </w:rPr>
        <w:t xml:space="preserve">the Company filed its response to the summons to attend oral proceedings, including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auxiliary requests. Alfred E. Tiefenbacher and Hexal filed their responses to the summons to oral proceedings on </w:t>
      </w:r>
      <w:r>
        <w:rPr>
          <w:rStyle w:val="Emphasis"/>
          <w:rFonts w:ascii="Times New Roman" w:hAnsi="Times New Roman"/>
          <w:caps w:val="false"/>
          <w:smallCaps w:val="false"/>
          <w:sz w:val="20"/>
        </w:rPr>
        <w:t xml:space="preserve">February 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Hexal filed a further brief on </w:t>
      </w:r>
      <w:r>
        <w:rPr>
          <w:rStyle w:val="Emphasis"/>
          <w:rFonts w:ascii="Times New Roman" w:hAnsi="Times New Roman"/>
          <w:caps w:val="false"/>
          <w:smallCaps w:val="false"/>
          <w:sz w:val="20"/>
        </w:rPr>
        <w:t xml:space="preserve">March 19, 2025. </w:t>
      </w:r>
      <w:r>
        <w:rPr>
          <w:rFonts w:ascii="Times New Roman" w:hAnsi="Times New Roman"/>
          <w:caps w:val="false"/>
          <w:smallCaps w:val="false"/>
          <w:sz w:val="20"/>
        </w:rPr>
        <w:t xml:space="preserve">Oral proceedings took place on </w:t>
      </w:r>
      <w:r>
        <w:rPr>
          <w:rStyle w:val="Emphasis"/>
          <w:rFonts w:ascii="Times New Roman" w:hAnsi="Times New Roman"/>
          <w:caps w:val="false"/>
          <w:smallCaps w:val="false"/>
          <w:sz w:val="20"/>
        </w:rPr>
        <w:t xml:space="preserve">April 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was upheld as amended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hearing based on Auxiliary Request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covers the EMA approved indication for NERLYNX® as an extended adjuvant therapy for treating early stage hormone receptor-positive HER-</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-overexpressed/amplified breast cancer.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decision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appealed. Hexal filed an appeal 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Generics filed an appeal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and Wyeth filed an appeal 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5, 2025, </w:t>
      </w:r>
      <w:r>
        <w:rPr>
          <w:rFonts w:ascii="Times New Roman" w:hAnsi="Times New Roman"/>
          <w:caps w:val="false"/>
          <w:smallCaps w:val="false"/>
          <w:sz w:val="20"/>
        </w:rPr>
        <w:t xml:space="preserve">Wyeth filed its grounds of appeal, including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auxiliary requests. On the same day, Hexal filed its grounds of appeal. Generics filed its grounds of appeal on </w:t>
      </w:r>
      <w:r>
        <w:rPr>
          <w:rStyle w:val="Emphasis"/>
          <w:rFonts w:ascii="Times New Roman" w:hAnsi="Times New Roman"/>
          <w:caps w:val="false"/>
          <w:smallCaps w:val="false"/>
          <w:sz w:val="20"/>
        </w:rPr>
        <w:t xml:space="preserve">September 4, 2025, </w:t>
      </w:r>
      <w:r>
        <w:rPr>
          <w:rFonts w:ascii="Times New Roman" w:hAnsi="Times New Roman"/>
          <w:caps w:val="false"/>
          <w:smallCaps w:val="false"/>
          <w:sz w:val="20"/>
        </w:rPr>
        <w:t xml:space="preserve">and Alfred E. Tiefenbacher filed its grounds of appeal 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16, 2025, </w:t>
      </w:r>
      <w:r>
        <w:rPr>
          <w:rFonts w:ascii="Times New Roman" w:hAnsi="Times New Roman"/>
          <w:caps w:val="false"/>
          <w:smallCaps w:val="false"/>
          <w:sz w:val="20"/>
        </w:rPr>
        <w:t xml:space="preserve">Alfred E. Tiefenbacher withdrew its appeal. Wyeth responded to the opponents’ grounds of appeal on </w:t>
      </w:r>
      <w:r>
        <w:rPr>
          <w:rStyle w:val="Emphasis"/>
          <w:rFonts w:ascii="Times New Roman" w:hAnsi="Times New Roman"/>
          <w:caps w:val="false"/>
          <w:smallCaps w:val="false"/>
          <w:sz w:val="20"/>
        </w:rPr>
        <w:t xml:space="preserve">January 12, 2026. </w:t>
      </w:r>
      <w:r>
        <w:rPr>
          <w:rFonts w:ascii="Times New Roman" w:hAnsi="Times New Roman"/>
          <w:caps w:val="false"/>
          <w:smallCaps w:val="false"/>
          <w:sz w:val="20"/>
        </w:rPr>
        <w:t xml:space="preserve">One European divisional application is pending in the same family, namely EP </w:t>
      </w:r>
      <w:r>
        <w:rPr>
          <w:rStyle w:val="Emphasis"/>
          <w:rFonts w:ascii="Times New Roman" w:hAnsi="Times New Roman"/>
          <w:caps w:val="false"/>
          <w:smallCaps w:val="false"/>
          <w:sz w:val="20"/>
        </w:rPr>
        <w:t>23157078.8.</w:t>
      </w:r>
      <w:r>
        <w:rPr>
          <w:rFonts w:ascii="Times New Roman" w:hAnsi="Times New Roman"/>
          <w:caps w:val="false"/>
          <w:smallCaps w:val="false"/>
          <w:sz w:val="20"/>
        </w:rPr>
        <w:t xml:space="preserve"> A response to the European Search Opinion (ESO) for this application was filed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was issued 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with a response 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filed on </w:t>
      </w:r>
      <w:r>
        <w:rPr>
          <w:rStyle w:val="Emphasis"/>
          <w:rFonts w:ascii="Times New Roman" w:hAnsi="Times New Roman"/>
          <w:caps w:val="false"/>
          <w:smallCaps w:val="false"/>
          <w:sz w:val="20"/>
        </w:rPr>
        <w:t>July 22, 2025.</w:t>
      </w:r>
    </w:p>
    <w:p>
      <w:pPr>
        <w:pStyle w:val="TextBody"/>
        <w:bidi w:val="0"/>
        <w:spacing w:before="0" w:after="0"/>
        <w:ind w:left="0" w:right="0" w:firstLine="560"/>
        <w:jc w:val="left"/>
        <w:rPr>
          <w:caps w:val="false"/>
          <w:smallCaps w:val="false"/>
        </w:rPr>
      </w:pPr>
      <w:r>
        <w:rPr>
          <w:caps w:val="false"/>
          <w:smallCaps w:val="false"/>
        </w:rPr>
        <w:t> </w:t>
      </w:r>
    </w:p>
    <w:p>
      <w:pPr>
        <w:pStyle w:val="TextBody"/>
        <w:bidi w:val="0"/>
        <w:ind w:left="0" w:right="0" w:firstLine="54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F-31 </w:t>
      </w:r>
    </w:p>
    <w:p>
      <w:pPr>
        <w:pStyle w:val="TextBody"/>
        <w:bidi w:val="0"/>
        <w:spacing w:before="0" w:after="0"/>
        <w:ind w:left="0" w:right="0" w:hanging="0"/>
        <w:jc w:val="right"/>
        <w:rPr>
          <w:rFonts w:ascii="Times New Roman" w:hAnsi="Times New Roman"/>
          <w:b/>
          <w:caps w:val="false"/>
          <w:smallCaps w:val="false"/>
          <w:sz w:val="20"/>
        </w:rPr>
      </w:pPr>
      <w:bookmarkStart w:id="41" w:name="ex_920649.htm"/>
      <w:bookmarkStart w:id="42" w:name="ksex_920649"/>
      <w:bookmarkEnd w:id="41"/>
      <w:bookmarkEnd w:id="42"/>
      <w:r>
        <w:rPr>
          <w:rFonts w:ascii="Times New Roman" w:hAnsi="Times New Roman"/>
          <w:b/>
          <w:caps w:val="false"/>
          <w:smallCaps w:val="false"/>
          <w:sz w:val="20"/>
        </w:rPr>
        <w:t>Exhibit 4.3</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 the Registrant</w:t>
      </w:r>
      <w:r>
        <w:rPr>
          <w:rFonts w:ascii="Times New Roman" w:hAnsi="Times New Roman"/>
          <w:caps w:val="false"/>
          <w:smallCaps w:val="false"/>
          <w:sz w:val="20"/>
        </w:rPr>
        <w:t>’</w:t>
      </w:r>
      <w:r>
        <w:rPr>
          <w:rFonts w:ascii="Times New Roman" w:hAnsi="Times New Roman"/>
          <w:b/>
          <w:caps w:val="false"/>
          <w:smallCaps w:val="false"/>
          <w:sz w:val="20"/>
        </w:rPr>
        <w:t xml:space="preserve">s Securities Registered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12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Except as otherwise indicated herein or as the context otherwise requires, references in this exhibit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 company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 to Puma Biotechnology, Inc. The following description of our common stock and certain provisions of our second amended and restated certificate of incorporation and fifth amended and restated bylaws are summaries and are qualified in their entirety by reference to the full text of our second amended and restated certificate of incorporation and third amended and restated bylaws. We urge you to read those documents, each of which are incorporated by reference as exhibits to our filings with the Securities and Exchange Commission, and the applicable provisions of Delaware law, for a complete description of the matters set forth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is registered under Section 12 of the Securities Exchange Act of 1934, as amended. Our second amended and restated certificate of incorporation authorizes 100,000,000 shares of common stock, all with a par value of $0.0001 per share. Holders of our common stock are entitled to one vote for each share held on all matters submitted to a vote of stockholders and do not have cumulative voting rights. The election of directors by holders of our common stock is determined by a plurality of the votes cast by the stockholders entitled to vote on the election. Holders of our common stock are entitled to receive proportionately any dividends as may be declared by our board of directors. Our common stock is listed on the Nasdaq Global Select Market under the symbol “PBYI.”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our liquidation or dissolution, the holders of our common stock are entitled to receive proportionately our net assets available for distribution to stockholders after the payment of all debts and other liabilities. Holders of our common stock have no preemptive, subscription, redemption or conversion rights. Our common stock is not entitled to sinking fund provisions. Outstanding shares of our common stock are, when issued and paid for,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Anti-Takeover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provisions of Delaware law and our fifth amended and restated bylaws, certain provisions of which are summarized below, may have the effect of delaying, deferring or discouraging another person from acquiring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Advance Notice Requirements for Stockholder Proposals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fifth amended and restated bylaws provide advance notice procedures for stockholders seeking to bring business before our annual meeting of stockholders or to nominate candidates for election as directors at our annual meeting of stockholders or at a special meeting of stockholders if the election of directors is a matter specified in the notice of such special meeting. Our fifth amended and restated bylaws also specify certain requirements regarding the form and content of a stockholder’s notice and require a stockholder proposing business or nominating directors to provide additional information about the stockholder, including information about the stockholder’s ownership of securities in our company (including ownership of derivative securities) and material litigation, relationships and interests in material agreements with or involving our company, and require a stockholder nominating directors to provide additional information about any candidate the stockholder proposes to nominate for election as a director. These provisions might preclude our stockholders from bringing matters before our annual meeting of stockholders or from making nominations for directors at our annual meeting of stockholders or at a special meeting of stockholders if the election of directors is a matter specified in the notice of such special meeting, if the proper procedures are not followed.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Combinations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closing of the transaction that resulted in the stockholder becoming an interested stockholder, the interested stockholder owned at least eighty-five percent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confidentiality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or after such date, the business combination is approved by the board of directors and authorized at an annual or special meeting of the stockholders, and not by written consent, by the affirmative vote of at least sixty-six and two-thirds percent (66 2/3%) of the outstanding voting stock that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general, Section 203 defines business combination to include the following:</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10"/>
        <w:gridCol w:w="6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sale, transfer, pledge or other disposition of ten percent (10%) or more of the assets of the corporation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fifteen percent (15%) or more of the outstanding voting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EQ Shareowner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3" w:name="ex_923962.htm"/>
      <w:bookmarkStart w:id="44" w:name="ksex_923962"/>
      <w:bookmarkEnd w:id="43"/>
      <w:bookmarkEnd w:id="44"/>
      <w:r>
        <w:rPr>
          <w:rFonts w:ascii="Times New Roman;Times;serif" w:hAnsi="Times New Roman;Times;serif"/>
          <w:b/>
          <w:sz w:val="20"/>
        </w:rPr>
        <w:t>Exhibit 10.7</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Puma Biotechnology, Inc.</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(Effective 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Non-employee members of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Puma Biotechnology, Inc. (the “</w:t>
      </w:r>
      <w:r>
        <w:rPr>
          <w:rFonts w:ascii="Times New Roman" w:hAnsi="Times New Roman"/>
          <w:caps w:val="false"/>
          <w:smallCaps w:val="false"/>
          <w:sz w:val="20"/>
          <w:u w:val="single"/>
        </w:rPr>
        <w:t>Company</w:t>
      </w:r>
      <w:r>
        <w:rPr>
          <w:rFonts w:ascii="Times New Roman" w:hAnsi="Times New Roman"/>
          <w:caps w:val="false"/>
          <w:smallCaps w:val="false"/>
          <w:sz w:val="20"/>
        </w:rPr>
        <w:t>”) shall be eligible to receive cash and equity compensation as set forth in this Non-Employee Director Compensation Program (this “</w:t>
      </w:r>
      <w:r>
        <w:rPr>
          <w:rFonts w:ascii="Times New Roman" w:hAnsi="Times New Roman"/>
          <w:caps w:val="false"/>
          <w:smallCaps w:val="false"/>
          <w:sz w:val="20"/>
          <w:u w:val="single"/>
        </w:rPr>
        <w:t>Program</w:t>
      </w:r>
      <w:r>
        <w:rPr>
          <w:rFonts w:ascii="Times New Roman" w:hAnsi="Times New Roman"/>
          <w:caps w:val="false"/>
          <w:smallCaps w:val="false"/>
          <w:sz w:val="20"/>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hAnsi="Times New Roman"/>
          <w:caps w:val="false"/>
          <w:smallCaps w:val="false"/>
          <w:sz w:val="20"/>
          <w:u w:val="single"/>
        </w:rPr>
        <w:t>Non-Employee Director</w:t>
      </w:r>
      <w:r>
        <w:rPr>
          <w:rFonts w:ascii="Times New Roman" w:hAnsi="Times New Roman"/>
          <w:caps w:val="false"/>
          <w:smallCaps w:val="false"/>
          <w:sz w:val="20"/>
        </w:rPr>
        <w:t>”) who may be eligible to receive such cash or equity compensation. This Program shall become effective as of the date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Compensation</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240"/>
        <w:gridCol w:w="60"/>
        <w:gridCol w:w="710"/>
      </w:tblGrid>
      <w:tr>
        <w:trPr/>
        <w:tc>
          <w:tcPr>
            <w:tcW w:w="52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Board Service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$50,000</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Committee Service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Audit Committee: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Annual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 Member (Non-Chair)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$10,000</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Compensation Committee: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Annual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$15,000</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 Member (Non-Chair)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$7,500</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Nominating and Corporate Governance Committee: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Annual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$12,500</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 Member (Non-Chair)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$6,250</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Research and Development Committee; Commercial Committee: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Annual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$15,000</w:t>
            </w:r>
          </w:p>
        </w:tc>
      </w:tr>
      <w:tr>
        <w:trPr/>
        <w:tc>
          <w:tcPr>
            <w:tcW w:w="524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 Member (Non-Chair) Retainer:</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$7,500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Board Service and Committee Service Annual Retainers will be paid or granted (as applicable) quarterly at the beginning of the applicable calendar quarter. In the event that a Non-Employee Director is initially elected or appointed to serve on the Board (the date of any such initial election or appointment, such Non-Employee Director’s “</w:t>
      </w:r>
      <w:r>
        <w:rPr>
          <w:rFonts w:ascii="Times New Roman;Times;serif" w:hAnsi="Times New Roman;Times;serif"/>
          <w:sz w:val="20"/>
          <w:u w:val="single"/>
        </w:rPr>
        <w:t>Start Date</w:t>
      </w:r>
      <w:r>
        <w:rPr>
          <w:rFonts w:ascii="Times New Roman;Times;serif" w:hAnsi="Times New Roman;Times;serif"/>
          <w:sz w:val="20"/>
        </w:rPr>
        <w:t>”) on any date other than the first day of a calendar quarter, such Non-Employee Director shall receive, within 30 days following such Non-Employee Director’s Start Date, a prorated portion of the Board Service Annual Retainer and a prorated portion of each applicable Committee Service Annual Retainer, payable to such Non-Employee Director with respect to such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Non-Employee Directors shall be granted the equity awards described below. The awards described below shall be granted under and shall be subject to the terms and provisions of the Company’s 2011 Incentive Award Plan, as may be amended from time to time (the “</w:t>
      </w:r>
      <w:r>
        <w:rPr>
          <w:rFonts w:ascii="Times New Roman" w:hAnsi="Times New Roman"/>
          <w:caps w:val="false"/>
          <w:smallCaps w:val="false"/>
          <w:sz w:val="20"/>
          <w:u w:val="single"/>
        </w:rPr>
        <w:t>Plan</w:t>
      </w:r>
      <w:r>
        <w:rPr>
          <w:rFonts w:ascii="Times New Roman" w:hAnsi="Times New Roman"/>
          <w:caps w:val="false"/>
          <w:smallCaps w:val="false"/>
          <w:sz w:val="20"/>
        </w:rPr>
        <w:t>”). Capitalized terms not otherwise defined below shall have the meanings ascribed to them in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
        <w:gridCol w:w="9412"/>
      </w:tblGrid>
      <w:tr>
        <w:trPr/>
        <w:tc>
          <w:tcPr>
            <w:tcW w:w="7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Option Grant:</w:t>
            </w:r>
          </w:p>
        </w:tc>
        <w:tc>
          <w:tcPr>
            <w:tcW w:w="94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Non-Employee Director who is initially elected or appointed to serve on the Board is hereby granted an Option with a value of $700,000 (the “</w:t>
            </w:r>
            <w:r>
              <w:rPr>
                <w:rFonts w:ascii="Times New Roman;Times;serif" w:hAnsi="Times New Roman;Times;serif"/>
                <w:caps w:val="false"/>
                <w:smallCaps w:val="false"/>
                <w:sz w:val="20"/>
                <w:u w:val="single"/>
              </w:rPr>
              <w:t>Initial Grant</w:t>
            </w:r>
            <w:r>
              <w:rPr>
                <w:rFonts w:ascii="Times New Roman;Times;serif" w:hAnsi="Times New Roman;Times;serif"/>
                <w:caps w:val="false"/>
                <w:smallCaps w:val="false"/>
                <w:sz w:val="20"/>
              </w:rPr>
              <w:t>”), with the number of Shares subject to the Initial Grant to be determined by dividing the value by the Black-Scholes valuation as of the grant date using a trailing 30-calendar day average closing price for the Company’s common stock through and including the applicable grant date; provided, that, the number of Shares subject to the Initial Grant will not exceed 100,000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Initial Grant is hereby granted on the date on which such Non-Employee Director is initially elected or appointed to serve on the Board (the “</w:t>
            </w:r>
            <w:r>
              <w:rPr>
                <w:rFonts w:ascii="Times New Roman;Times;serif" w:hAnsi="Times New Roman;Times;serif"/>
                <w:caps w:val="false"/>
                <w:smallCaps w:val="false"/>
                <w:sz w:val="20"/>
                <w:u w:val="single"/>
              </w:rPr>
              <w:t>Election Date</w:t>
            </w:r>
            <w:r>
              <w:rPr>
                <w:rFonts w:ascii="Times New Roman;Times;serif" w:hAnsi="Times New Roman;Times;serif"/>
                <w:caps w:val="false"/>
                <w:smallCaps w:val="false"/>
                <w:sz w:val="20"/>
              </w:rPr>
              <w:t>”), and shall vest with respect to one-third (1/3rd) of the Shares subject thereto on the first anniversary of the applicable Election Date, and with respect to an additional 1/36th of the Shares subject thereto on each monthly anniversary thereafter, subject to continued service through the applicable vesting date. Each Initial Grant shall have an exercise price per Share equal to the Fair Market Value of a Share on the applicable Election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4"/>
        <w:gridCol w:w="9421"/>
      </w:tblGrid>
      <w:tr>
        <w:trPr/>
        <w:tc>
          <w:tcPr>
            <w:tcW w:w="7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RSU Grant:</w:t>
            </w:r>
          </w:p>
        </w:tc>
        <w:tc>
          <w:tcPr>
            <w:tcW w:w="94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Non-Employee Director who is serving on the Board as of the date of any annual shareholder meeting on or after the effective date of this Program and will continue to serve as a Non-Employee Director immediately following such meeting, shall hereby be granted a Restricted Stock Unit award with a value of $300,000 (the “</w:t>
            </w:r>
            <w:r>
              <w:rPr>
                <w:rFonts w:ascii="Times New Roman;Times;serif" w:hAnsi="Times New Roman;Times;serif"/>
                <w:caps w:val="false"/>
                <w:smallCaps w:val="false"/>
                <w:sz w:val="20"/>
                <w:u w:val="single"/>
              </w:rPr>
              <w:t>Annual Grant</w:t>
            </w:r>
            <w:r>
              <w:rPr>
                <w:rFonts w:ascii="Times New Roman;Times;serif" w:hAnsi="Times New Roman;Times;serif"/>
                <w:caps w:val="false"/>
                <w:smallCaps w:val="false"/>
                <w:sz w:val="20"/>
              </w:rPr>
              <w:t>”), with the number of Shares subject to the Annual Grant to be determined by dividing the value by the trailing 30-calendar day average closing price for the Company’s common stock through and including the applicable grant date; provided, that, the number of Shares subject to the Annual Grant will not exceed 27,000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Annual Grant will vest in full on the earlier of the one-year anniversary of the date of grant and the date of the annual shareholder meeting following the date of grant, subject to continued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Initial Grant shall be an Option and shall have a maximum term of ten years from the applicable date of grant. All applicable terms of the Plan apply to this Program as if fully set forth herein, and all grants of awards are hereby subject in all respect to the terms of the Plan. The grant of any award under this Program shall be made solely by and subject to the terms set forth in a written Award Agreement in a form approved by the Board and duly executed by an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Non-Employee Director Award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 provision to the contrary in this Program, the sum of any cash compensation and the grant date fair value (determined as of the date of the grant under Financial Accounting Standards Board Accounting Standards Codification Topic 718, or any successor thereto) of all awards granted under this Program shall be subject to any limitations imposed under the Plan or any other applicable agreement, program, policy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Amendment, Modification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Program may be amended, modified or terminated by the Board in the future at its sole discretion. No Non-Employee Director shall have any rights hereunder, except with respect to any awards actually granted pursuant to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5" w:name="ex_896262.htm"/>
      <w:bookmarkStart w:id="46" w:name="ksex_896262"/>
      <w:bookmarkEnd w:id="45"/>
      <w:bookmarkEnd w:id="46"/>
      <w:r>
        <w:rPr>
          <w:rFonts w:ascii="Times New Roman;Times;serif" w:hAnsi="Times New Roman;Times;serif"/>
          <w:b/>
          <w:sz w:val="20"/>
        </w:rPr>
        <w:t>Exhibit 19.1</w:t>
      </w:r>
      <w:r>
        <w:br w:type="page"/>
      </w:r>
    </w:p>
    <w:p>
      <w:pPr>
        <w:pStyle w:val="TextBody"/>
        <w:bidi w:val="0"/>
        <w:spacing w:before="0" w:after="0"/>
        <w:ind w:left="0" w:right="0" w:hanging="0"/>
        <w:jc w:val="center"/>
        <w:rPr/>
      </w:pPr>
      <w:r>
        <w:rPr/>
        <w:t> </w:t>
      </w:r>
      <w:r>
        <w:rPr>
          <w:rFonts w:ascii="Times New Roman" w:hAnsi="Times New Roman"/>
          <w:b/>
          <w:sz w:val="20"/>
        </w:rPr>
        <w:t>Puma Biotechnology, Inc.</w:t>
      </w:r>
      <w:r>
        <w:rPr>
          <w:rFonts w:ascii="Times New Roman" w:hAnsi="Times New Roman"/>
          <w:sz w:val="20"/>
        </w:rPr>
        <w:br/>
      </w:r>
      <w:r>
        <w:rPr>
          <w:rFonts w:ascii="Times New Roman" w:hAnsi="Times New Roman"/>
          <w:b/>
          <w:sz w:val="20"/>
        </w:rPr>
        <w:t>Insider Trading Compliance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Puma Biotechnology, Inc. (together with its subsidiaries, the “</w:t>
      </w:r>
      <w:r>
        <w:rPr>
          <w:rFonts w:ascii="Times New Roman" w:hAnsi="Times New Roman"/>
          <w:caps w:val="false"/>
          <w:smallCaps w:val="false"/>
          <w:sz w:val="20"/>
          <w:u w:val="single"/>
        </w:rPr>
        <w:t>Company</w:t>
      </w:r>
      <w:r>
        <w:rPr>
          <w:rFonts w:ascii="Times New Roman" w:hAnsi="Times New Roman"/>
          <w:caps w:val="false"/>
          <w:smallCaps w:val="false"/>
          <w:sz w:val="20"/>
        </w:rPr>
        <w:t>”) requires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Persons Covered and Administration of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Insider Trading Compliance Policy (this “</w:t>
      </w:r>
      <w:r>
        <w:rPr>
          <w:rFonts w:ascii="Times New Roman" w:hAnsi="Times New Roman"/>
          <w:caps w:val="false"/>
          <w:smallCaps w:val="false"/>
          <w:sz w:val="20"/>
          <w:u w:val="single"/>
        </w:rPr>
        <w:t>Policy</w:t>
      </w:r>
      <w:r>
        <w:rPr>
          <w:rFonts w:ascii="Times New Roman" w:hAnsi="Times New Roman"/>
          <w:caps w:val="false"/>
          <w:smallCaps w:val="false"/>
          <w:sz w:val="20"/>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Individuals subject to this Policy are responsible for ensuring that members of their household comply with this Policy. This Policy also applies to any entities controlled by or affiliated with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Company’s President and Chief Executive Officer, the Company’s Chief Financial Officer or the Board of Directors of the Company (the “</w:t>
      </w:r>
      <w:r>
        <w:rPr>
          <w:rFonts w:ascii="Times New Roman" w:hAnsi="Times New Roman"/>
          <w:caps w:val="false"/>
          <w:smallCaps w:val="false"/>
          <w:sz w:val="20"/>
          <w:u w:val="single"/>
        </w:rPr>
        <w:t>Board</w:t>
      </w:r>
      <w:r>
        <w:rPr>
          <w:rFonts w:ascii="Times New Roman" w:hAnsi="Times New Roman"/>
          <w:caps w:val="false"/>
          <w:smallCaps w:val="false"/>
          <w:sz w:val="20"/>
        </w:rPr>
        <w:t>”) (each such person in such role, the “</w:t>
      </w:r>
      <w:r>
        <w:rPr>
          <w:rFonts w:ascii="Times New Roman" w:hAnsi="Times New Roman"/>
          <w:caps w:val="false"/>
          <w:smallCaps w:val="false"/>
          <w:sz w:val="20"/>
          <w:u w:val="single"/>
        </w:rPr>
        <w:t>Compliance Officer</w:t>
      </w:r>
      <w:r>
        <w:rPr>
          <w:rFonts w:ascii="Times New Roman" w:hAnsi="Times New Roman"/>
          <w:caps w:val="false"/>
          <w:smallCaps w:val="false"/>
          <w:sz w:val="20"/>
        </w:rPr>
        <w:t>”), are referred to collectively as “</w:t>
      </w:r>
      <w:r>
        <w:rPr>
          <w:rFonts w:ascii="Times New Roman" w:hAnsi="Times New Roman"/>
          <w:caps w:val="false"/>
          <w:smallCaps w:val="false"/>
          <w:sz w:val="20"/>
          <w:u w:val="single"/>
        </w:rPr>
        <w:t>Covered Persons.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Questions regarding this Policy should be directed to the Compliance Officer, who is responsible for the administration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Policy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permitted by this Policy, no Covered Person shall: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sell, gift or otherwise transfer any security of the Company while in possession of material nonpublic information about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sell, gift or otherwise transfer any security of any other company, including a customer, supplier, business partner, or an economically-linked company, such as a competitor or peer company, while in possession of material nonpublic information obtained in connection with your employment by or service to the Company (to the extent there is a reasonable likelihood that such information would be considered important to an investor in making an investment decision in such other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or indirectly communicate material nonpublic information to anyone outside the Company unless in accordance with Company policy regarding confidential information;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or indirectly communicate material nonpublic information to anyone within the Company except on a need-to-know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w:t>
      </w:r>
      <w:r>
        <w:rPr>
          <w:rFonts w:ascii="Times New Roman" w:hAnsi="Times New Roman"/>
          <w:caps w:val="false"/>
          <w:smallCaps w:val="false"/>
          <w:sz w:val="20"/>
        </w:rPr>
        <w:t>” includes stocks, bonds, notes, debentures, options, warrants, equity and other convertible securities, as well as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Purchase</w:t>
      </w:r>
      <w:r>
        <w:rPr>
          <w:rFonts w:ascii="Times New Roman" w:hAnsi="Times New Roman"/>
          <w:caps w:val="false"/>
          <w:smallCaps w:val="false"/>
          <w:sz w:val="20"/>
        </w:rPr>
        <w:t>” and “</w:t>
      </w:r>
      <w:r>
        <w:rPr>
          <w:rFonts w:ascii="Times New Roman" w:hAnsi="Times New Roman"/>
          <w:caps w:val="false"/>
          <w:smallCaps w:val="false"/>
          <w:sz w:val="20"/>
          <w:u w:val="single"/>
        </w:rPr>
        <w:t>sale</w:t>
      </w:r>
      <w:r>
        <w:rPr>
          <w:rFonts w:ascii="Times New Roman" w:hAnsi="Times New Roman"/>
          <w:caps w:val="false"/>
          <w:smallCaps w:val="false"/>
          <w:sz w:val="20"/>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Information is considered “</w:t>
      </w:r>
      <w:r>
        <w:rPr>
          <w:rFonts w:ascii="Times New Roman" w:hAnsi="Times New Roman"/>
          <w:caps w:val="false"/>
          <w:smallCaps w:val="false"/>
          <w:sz w:val="20"/>
          <w:u w:val="single"/>
        </w:rPr>
        <w:t>material</w:t>
      </w:r>
      <w:r>
        <w:rPr>
          <w:rFonts w:ascii="Times New Roman" w:hAnsi="Times New Roman"/>
          <w:caps w:val="false"/>
          <w:smallCaps w:val="false"/>
          <w:sz w:val="20"/>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Examples of material information may include (but are not limited to) information about:</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earnings or earnings forecasts;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possible mergers, acquisitions, tender offers, or dispositions;</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new products or product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important business developments, such as developments regarding strategic collaborations or licensing arrangements;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developments with clinical trials and clinical trial results;</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status of regulatory submissions;</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170"/>
        <w:gridCol w:w="2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or control changes;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financing developments, including pending public or private sales or offerings of debt or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defaults on borrowings;</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170"/>
        <w:gridCol w:w="1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bankruptcies;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 or data security incidents; and</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litigation or regulatory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Information is “</w:t>
      </w:r>
      <w:r>
        <w:rPr>
          <w:rFonts w:ascii="Times New Roman" w:hAnsi="Times New Roman"/>
          <w:caps w:val="false"/>
          <w:smallCaps w:val="false"/>
          <w:sz w:val="20"/>
          <w:u w:val="single"/>
        </w:rPr>
        <w:t>nonpublic</w:t>
      </w:r>
      <w:r>
        <w:rPr>
          <w:rFonts w:ascii="Times New Roman" w:hAnsi="Times New Roman"/>
          <w:caps w:val="false"/>
          <w:smallCaps w:val="false"/>
          <w:sz w:val="20"/>
        </w:rPr>
        <w:t>” if it is not available to the general public. In order for information to be considered “</w:t>
      </w:r>
      <w:r>
        <w:rPr>
          <w:rFonts w:ascii="Times New Roman" w:hAnsi="Times New Roman"/>
          <w:caps w:val="false"/>
          <w:smallCaps w:val="false"/>
          <w:sz w:val="20"/>
          <w:u w:val="single"/>
        </w:rPr>
        <w:t>public</w:t>
      </w:r>
      <w:r>
        <w:rPr>
          <w:rFonts w:ascii="Times New Roman" w:hAnsi="Times New Roman"/>
          <w:caps w:val="false"/>
          <w:smallCaps w:val="false"/>
          <w:sz w:val="20"/>
        </w:rPr>
        <w:t>,” it must be widely disseminated in a manner that makes it generally available to investors in a Regulation FD-compliant method, such as through a press release, a filing with the U.S.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or a Regulation FD-compliant conference call. The Compliance Officer shall have sole discretion to decide whether information is public for purposes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laws and regulations concerning insider trading are complex, and Covered Persons are encouraged to seek guidance from the Compliance Officer prior to considering a transaction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Blackout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the following two “blackout” periods, during which no director, officer or employee designated by the Compliance Officer (as well as any individual or entity covered by this Policy by virtue of their relationship to such director, officer or employee) shall purchase, sell, gift or otherwise transfer any security of the Company, except as otherwise permitted by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during the period beginning two weeks before the end of any fiscal quarter of the Company and ending after completion of the second full trading day after the public release of financial results data for such fiscal quarter;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during the period beginning two weeks before the public presentation of data on any of the Company’s drug candidates at a medical or scientific conference and ending after completion of the second full trading day after the public release of such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“trading day” is a day on which U.S. national stock exchanges are open for trading. If, for example, the Company were to make an announcement on Monday </w:t>
      </w:r>
      <w:r>
        <w:rPr>
          <w:rFonts w:ascii="Times New Roman" w:hAnsi="Times New Roman"/>
          <w:i/>
          <w:caps w:val="false"/>
          <w:smallCaps w:val="false"/>
          <w:sz w:val="20"/>
        </w:rPr>
        <w:t>prior</w:t>
      </w:r>
      <w:r>
        <w:rPr>
          <w:rFonts w:ascii="Times New Roman" w:hAnsi="Times New Roman"/>
          <w:caps w:val="false"/>
          <w:smallCaps w:val="false"/>
          <w:sz w:val="20"/>
        </w:rPr>
        <w:t xml:space="preserve"> to 9:30 a.m. Eastern Time, then the blackout period would terminate </w:t>
      </w:r>
      <w:r>
        <w:rPr>
          <w:rFonts w:ascii="Times New Roman" w:hAnsi="Times New Roman"/>
          <w:i/>
          <w:caps w:val="false"/>
          <w:smallCaps w:val="false"/>
          <w:sz w:val="20"/>
        </w:rPr>
        <w:t>after</w:t>
      </w:r>
      <w:r>
        <w:rPr>
          <w:rFonts w:ascii="Times New Roman" w:hAnsi="Times New Roman"/>
          <w:caps w:val="false"/>
          <w:smallCaps w:val="false"/>
          <w:sz w:val="20"/>
        </w:rPr>
        <w:t xml:space="preserve"> the close of trading on Tuesday. If an announcement were made on Monday after 9:30 a.m. Eastern Time, then the blackout period would terminate after the close of trading on Wednesday. Any question as to whether information is publicly available shall be directed to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Additional Blackout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Pre-Clearance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Compliance Officer will designate a list of persons (each, a “</w:t>
      </w:r>
      <w:r>
        <w:rPr>
          <w:rFonts w:ascii="Times New Roman" w:hAnsi="Times New Roman"/>
          <w:caps w:val="false"/>
          <w:smallCaps w:val="false"/>
          <w:sz w:val="20"/>
          <w:u w:val="single"/>
        </w:rPr>
        <w:t>Pre-Clearance Person</w:t>
      </w:r>
      <w:r>
        <w:rPr>
          <w:rFonts w:ascii="Times New Roman" w:hAnsi="Times New Roman"/>
          <w:caps w:val="false"/>
          <w:smallCaps w:val="false"/>
          <w:sz w:val="20"/>
        </w:rPr>
        <w:t>”) who (with their controlled entities and household members) must pre-clear each transaction in any security of the Company. Transactions by a Compliance Officer must be pre-cleared by a separate Compliance Officer, the Board or another person designated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applicable Compliance Officer shall have sole discretion to decide whether to clear any contemplated transaction. Pre-clearance approval will remain valid for five business days for transactions without a proposed transaction date. 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Exempt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except for provisions set forth in the Prohibited Transactions section below, does not apply to:</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directly with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gift transactions for family or estate planning purposes, where securities are gifted to a person or entity subject to this Policy, except that gift transactions involving Company securities are subject to pre-clearance;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sell-to-cover” transactions pursuant to a non-discretionary policy adopted by the Company that is intended to facilitate the payment of withholding taxes associated with vesting of equity awards (other than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70"/>
        <w:gridCol w:w="4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under a pre-cleared Rule 10b5-1 plan; or</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60"/>
        <w:gridCol w:w="170"/>
        <w:gridCol w:w="9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under a pre-cleared non-Rule 10b5-1 trading arrangement as defined in Item 408(c)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restrictions in this Policy, except for provisions set forth in the Prohibited Transactions section below, do not apply to transactions under a trading plan (a “</w:t>
      </w:r>
      <w:r>
        <w:rPr>
          <w:rFonts w:ascii="Times New Roman" w:hAnsi="Times New Roman"/>
          <w:caps w:val="false"/>
          <w:smallCaps w:val="false"/>
          <w:sz w:val="20"/>
          <w:u w:val="single"/>
        </w:rPr>
        <w:t>Trading Plan</w:t>
      </w:r>
      <w:r>
        <w:rPr>
          <w:rFonts w:ascii="Times New Roman" w:hAnsi="Times New Roman"/>
          <w:caps w:val="false"/>
          <w:smallCaps w:val="false"/>
          <w:sz w:val="20"/>
        </w:rPr>
        <w:t>”) that satisfies either:</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conditions of Rule 10b5-1; or</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elements of a non-Rule 10b5-1 trading arrangement as defined in Item 408(c) of Regulation S-K; and</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Compliance Officer has pre-approved.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withstanding the foregoing, discretionary trading plans, where the discretion or control over trading is transferred to a broker, are not allowed. The Compliance Officer may impose such other conditions on the implementation and operation of a Trading Plan as the Compliance Officer deems necessary or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certain duties to disclose the adoption, modification and termination of Rule 10b5-1 Trading Plans and also reserves the right from time to time to suspend, discontinue, or otherwise prohibit transactions under a Trading Plan if the Compliance Officer or the Board, in its discretion, determines that such suspension, discontinuation, or other prohibition is in the best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Trading Plan is terminated for any reason, a person must wait at least 30 days before trading, except with the prior consent of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approval or adoption of a Trading Plan in no way reduces or eliminates an officer or director’s obligations under Section 16 of the Exchange Act, including such person’s obligations to report transactions under Section 16 and short-swing trading liabilities thereunder. In addition, a Form 144 is required to be timely filed by each officer or the officer’s brokerage firm in accordance with the Rule 144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person should consult with their own counsel in implementing a Trading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Prohibited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Short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Short sales of the Company’s securities are prohibited by this Policy. Short sales are sales of shares that the insider does not own at the time of sale, or sales of shares against which the insider does not deliver the shares within 20 days after the sale. In addition, Section 16(c) of the Exchange Act prohibits Section 16 reporting persons (i.e., directors, officers, and the Company’s 10% stockholders) from making short sales of the Company’s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Transactions in puts, calls, or other derivative securities involving the Company’s equity securities, on an exchange, on an over-the-counter market, or in any other organized market, are prohibited by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Hedging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Margin Accounts and Pledging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Partnership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Post-Termination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individual is in possession of material nonpublic information when the individual’s service terminates, the restrictions set forth in “Policy Statement” above continue to apply until that information has become public or is no longer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Compliance with Section 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Section 16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16(a) of the Exchange Act generally requires all officers, directors and 10% stockholders (“</w:t>
      </w:r>
      <w:r>
        <w:rPr>
          <w:rFonts w:ascii="Times New Roman" w:hAnsi="Times New Roman"/>
          <w:caps w:val="false"/>
          <w:smallCaps w:val="false"/>
          <w:sz w:val="20"/>
          <w:u w:val="single"/>
        </w:rPr>
        <w:t>insiders</w:t>
      </w:r>
      <w:r>
        <w:rPr>
          <w:rFonts w:ascii="Times New Roman" w:hAnsi="Times New Roman"/>
          <w:caps w:val="false"/>
          <w:smallCaps w:val="false"/>
          <w:sz w:val="20"/>
        </w:rPr>
        <w:t>”) within 10 days after the insider becomes an officer, director or 10% stockholder, to file with the SEC an “Initial Statement of Beneficial Ownership of Securities” on SEC Form 3 listing the amount of the Company’s securities that the insider directly and indirectly beneficially owns. Following the initial filing on SEC Form 3, every change in the direct or indirect beneficial ownership of the Company’s securities must be reported on a Form 4 filed with the SEC within two business days after such transaction occurs. Form 4 must be filed even if, as a result of balancing transactions, there has been no net change in holdings. In deciding the day on which a purchase or sale on the open market occurs for purposes of filing Form 4, the trade date rather than the settlement date is ordinarily determinative. Special reporting and trading rules apply following termination of insider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report, or the late report of, a transaction required to be reported by Section 16(a) is a violation of federal law, potentially subjecting the insider to monetary penalties and requiring the Company to disclose the delinquent or missing filing in its Proxy Statement and Annual Report on Form 10-K. While the Company may assist directors and officers in fulfilling their reporting obligations, it is the individual insider’s responsibility to file all required reports and ensure they are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Section 16 Short Swing Trading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purpose of preventing the unfair use of information which may have been obtained by an insider, Section 16(b) under the Exchange Act requires that any profits deemed realized by any insider from any “purchase” and “sale” of Company Stock during a six-month period, so called “short-swing profits,” be recovered by the Company. When such a purchase and sale occurs (or vice versa), good faith is no defense. The highest priced sale will be matched with the lowest priced purchase within the six-month period, and any difference must be returned to the Company regardless of whether the insider actually realized any gain. The insider is liable to disgorge the profits even if compelled to sell for personal reasons and even if the sale takes place after full disclosure and without the use of any inside information. The Company cannot waive its right to recover short swing profits, and any Company stockholder can bring suit in the name of the Company. In connection with this, it must be remembered that reports of ownership filed with the SEC on Form 3 or Form 4 pursuant to Section 16(a) are readily available to the public, and certain attorneys carefully monitor these reports for potential Section 16(b)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Limitations on Access to Company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procedures are designed to maintain confidentiality with respect to the Company’s business operations and activities. All officers, directors and employees should take all steps and precautions necessary to restrict access to, and secure, material, non-public information by, among other things:</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maintaining the confidentiality of Company related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conducting their business and social activities so as not to risk inadvertent disclosure of confidential information. Review of confidential documents in public places should be conducted so as to prevent access by unauthorized persons;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restricting access to documents and files (including computer files) containing material, non-public information to individuals on a need-to-know basis (including maintaining control over the distribution of documents and drafts of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promptly removing and cleaning up all confidential documents and other materials from conference rooms following the conclusion of any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disposing of all confidential documents and other papers, through shredders when appropriate, after there is no longer any business or other legally required need for them;</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60"/>
        <w:gridCol w:w="170"/>
        <w:gridCol w:w="8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restricting access to areas likely to contain confidential documents or material, non-public information;</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safeguarding laptop computers, tablets, memory sticks, CDs and other items that contain confidential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avoiding the discussion of material, non-public information in places where the information could be overheard by others such as in elevators, restrooms, hallways, restaurants, airplanes or taxicabs.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Personnel involved with material, non-public information, to the extent feasible, should conduct their business and activities in areas separate from other Company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Policy Administration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Compliance Officer has authority to interpret, amend and implement this Policy. This authority includes interpreting or waiving the terms of this Policy, to the extent consistent with its general purpose and applicable securities laws. The Board will approve any waiver of the terms of this Policy for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Covered Persons may be asked periodically to certify their compliance with the terms and provisions of this Policy.</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896263.htm"/>
      <w:bookmarkStart w:id="48" w:name="ksex_896263"/>
      <w:bookmarkEnd w:id="47"/>
      <w:bookmarkEnd w:id="48"/>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Puma Biotechnology,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Subsidiary</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28" w:type="dxa"/>
          <w:right w:w="0" w:type="dxa"/>
        </w:tblCellMar>
      </w:tblPr>
      <w:tblGrid>
        <w:gridCol w:w="2150"/>
        <w:gridCol w:w="60"/>
        <w:gridCol w:w="392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39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Jurisdiction of Incorporation or Organization</w:t>
            </w:r>
          </w:p>
        </w:tc>
      </w:tr>
      <w:tr>
        <w:trPr/>
        <w:tc>
          <w:tcPr>
            <w:tcW w:w="21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Puma Biotechnology B.V.</w:t>
            </w:r>
          </w:p>
        </w:tc>
        <w:tc>
          <w:tcPr>
            <w:tcW w:w="60" w:type="dxa"/>
            <w:tcBorders/>
            <w:tcMar>
              <w:bottom w:w="0" w:type="dxa"/>
            </w:tcMar>
            <w:vAlign w:val="center"/>
          </w:tcPr>
          <w:p>
            <w:pPr>
              <w:pStyle w:val="TableContents"/>
              <w:bidi w:val="0"/>
              <w:spacing w:before="0" w:after="283"/>
              <w:jc w:val="left"/>
              <w:rPr/>
            </w:pPr>
            <w:r>
              <w:rPr/>
              <w:t> </w:t>
            </w:r>
          </w:p>
        </w:tc>
        <w:tc>
          <w:tcPr>
            <w:tcW w:w="39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896264.htm"/>
      <w:bookmarkStart w:id="50" w:name="ksex_896264"/>
      <w:bookmarkEnd w:id="49"/>
      <w:bookmarkEnd w:id="50"/>
      <w:r>
        <w:rPr>
          <w:rFonts w:ascii="Times New Roman" w:hAnsi="Times New Roman"/>
          <w:b/>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1755"/>
        <w:gridCol w:w="2195"/>
      </w:tblGrid>
      <w:tr>
        <w:trPr/>
        <w:tc>
          <w:tcPr>
            <w:tcW w:w="1755" w:type="dxa"/>
            <w:vMerge w:val="restart"/>
            <w:tcBorders/>
            <w:vAlign w:val="center"/>
          </w:tcPr>
          <w:p>
            <w:pPr>
              <w:pStyle w:val="TableContents"/>
              <w:bidi w:val="0"/>
              <w:spacing w:before="0" w:after="0"/>
              <w:jc w:val="left"/>
              <w:rPr/>
            </w:pPr>
            <w:r>
              <w:rPr/>
              <w:drawing>
                <wp:inline distT="0" distB="0" distL="0" distR="0">
                  <wp:extent cx="1104900"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4"/>
                          <a:stretch>
                            <a:fillRect/>
                          </a:stretch>
                        </pic:blipFill>
                        <pic:spPr bwMode="auto">
                          <a:xfrm>
                            <a:off x="0" y="0"/>
                            <a:ext cx="1104900" cy="571500"/>
                          </a:xfrm>
                          <a:prstGeom prst="rect">
                            <a:avLst/>
                          </a:prstGeom>
                        </pic:spPr>
                      </pic:pic>
                    </a:graphicData>
                  </a:graphic>
                </wp:inline>
              </w:drawing>
            </w:r>
          </w:p>
        </w:tc>
        <w:tc>
          <w:tcPr>
            <w:tcW w:w="2195" w:type="dxa"/>
            <w:tcBorders/>
            <w:vAlign w:val="center"/>
          </w:tcPr>
          <w:p>
            <w:pPr>
              <w:pStyle w:val="TableContents"/>
              <w:bidi w:val="0"/>
              <w:spacing w:before="0" w:after="283"/>
              <w:jc w:val="left"/>
              <w:rPr/>
            </w:pPr>
            <w:r>
              <w:rPr/>
              <w:t> </w:t>
            </w:r>
          </w:p>
        </w:tc>
      </w:tr>
      <w:tr>
        <w:trPr/>
        <w:tc>
          <w:tcPr>
            <w:tcW w:w="1755" w:type="dxa"/>
            <w:vMerge w:val="continue"/>
            <w:tcBorders/>
            <w:vAlign w:val="center"/>
          </w:tcPr>
          <w:p>
            <w:pPr>
              <w:pStyle w:val="Normal"/>
              <w:bidi w:val="0"/>
              <w:jc w:val="left"/>
              <w:rPr/>
            </w:pPr>
            <w:r>
              <w:rPr/>
            </w:r>
          </w:p>
        </w:tc>
        <w:tc>
          <w:tcPr>
            <w:tcW w:w="2195" w:type="dxa"/>
            <w:tcBorders/>
            <w:vAlign w:val="center"/>
          </w:tcPr>
          <w:p>
            <w:pPr>
              <w:pStyle w:val="TableContents"/>
              <w:bidi w:val="0"/>
              <w:spacing w:before="0" w:after="283"/>
              <w:jc w:val="left"/>
              <w:rPr/>
            </w:pPr>
            <w:r>
              <w:rPr/>
              <w:t> </w:t>
            </w:r>
          </w:p>
        </w:tc>
      </w:tr>
      <w:tr>
        <w:trPr/>
        <w:tc>
          <w:tcPr>
            <w:tcW w:w="1755" w:type="dxa"/>
            <w:vMerge w:val="continue"/>
            <w:tcBorders/>
            <w:vAlign w:val="center"/>
          </w:tcPr>
          <w:p>
            <w:pPr>
              <w:pStyle w:val="Normal"/>
              <w:bidi w:val="0"/>
              <w:jc w:val="left"/>
              <w:rPr/>
            </w:pPr>
            <w:r>
              <w:rPr/>
            </w:r>
          </w:p>
        </w:tc>
        <w:tc>
          <w:tcPr>
            <w:tcW w:w="21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KPMG LLP</w:t>
            </w:r>
          </w:p>
        </w:tc>
      </w:tr>
      <w:tr>
        <w:trPr/>
        <w:tc>
          <w:tcPr>
            <w:tcW w:w="1755" w:type="dxa"/>
            <w:vMerge w:val="continue"/>
            <w:tcBorders/>
            <w:vAlign w:val="center"/>
          </w:tcPr>
          <w:p>
            <w:pPr>
              <w:pStyle w:val="Normal"/>
              <w:bidi w:val="0"/>
              <w:jc w:val="left"/>
              <w:rPr/>
            </w:pPr>
            <w:r>
              <w:rPr/>
            </w:r>
          </w:p>
        </w:tc>
        <w:tc>
          <w:tcPr>
            <w:tcW w:w="21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Suite 1500</w:t>
            </w:r>
          </w:p>
        </w:tc>
      </w:tr>
      <w:tr>
        <w:trPr/>
        <w:tc>
          <w:tcPr>
            <w:tcW w:w="1755" w:type="dxa"/>
            <w:vMerge w:val="continue"/>
            <w:tcBorders/>
            <w:vAlign w:val="center"/>
          </w:tcPr>
          <w:p>
            <w:pPr>
              <w:pStyle w:val="Normal"/>
              <w:bidi w:val="0"/>
              <w:jc w:val="left"/>
              <w:rPr/>
            </w:pPr>
            <w:r>
              <w:rPr/>
            </w:r>
          </w:p>
        </w:tc>
        <w:tc>
          <w:tcPr>
            <w:tcW w:w="21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550 South Hope Street</w:t>
            </w:r>
          </w:p>
        </w:tc>
      </w:tr>
      <w:tr>
        <w:trPr/>
        <w:tc>
          <w:tcPr>
            <w:tcW w:w="1755" w:type="dxa"/>
            <w:vMerge w:val="continue"/>
            <w:tcBorders/>
            <w:vAlign w:val="center"/>
          </w:tcPr>
          <w:p>
            <w:pPr>
              <w:pStyle w:val="Normal"/>
              <w:bidi w:val="0"/>
              <w:jc w:val="left"/>
              <w:rPr/>
            </w:pPr>
            <w:r>
              <w:rPr/>
            </w:r>
          </w:p>
        </w:tc>
        <w:tc>
          <w:tcPr>
            <w:tcW w:w="21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Los Angeles, CA 90071-2629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consent to the incorporation by reference in the registration statements (Nos. 333-181703, 333-196993, 333-205117, 333-218373, 333-219347, 333-236736, 333-259585, and 333-281803) on Form S-8 and (333-266306) on Form S-3 of our report dated February 26, 2026, with respect to the consolidated financial statements of Puma Biotechnology, Inc. and the effectiveness of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123825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5"/>
                    <a:stretch>
                      <a:fillRect/>
                    </a:stretch>
                  </pic:blipFill>
                  <pic:spPr bwMode="auto">
                    <a:xfrm>
                      <a:off x="0" y="0"/>
                      <a:ext cx="1238250" cy="2762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 Angeles, California</w:t>
        <w:br/>
        <w:t>February 26, 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1" w:name="ex_896265.htm"/>
      <w:bookmarkStart w:id="52" w:name="ksex_896265"/>
      <w:bookmarkEnd w:id="51"/>
      <w:bookmarkEnd w:id="52"/>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Alan H. Auerbach,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Puma Biotechnology,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985"/>
        <w:gridCol w:w="222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26, 2026</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198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3" w:name="ex_896266.htm"/>
      <w:bookmarkStart w:id="54" w:name="ksex_896266"/>
      <w:bookmarkEnd w:id="53"/>
      <w:bookmarkEnd w:id="54"/>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Maximo F. Nougues,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Puma Biotechnology,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26,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19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5" w:name="ex_896267.htm"/>
      <w:bookmarkStart w:id="56" w:name="ksex_896267"/>
      <w:bookmarkEnd w:id="55"/>
      <w:bookmarkEnd w:id="56"/>
      <w:r>
        <w:rPr>
          <w:rFonts w:ascii="Times New Roman" w:hAnsi="Times New Roman"/>
          <w:b/>
          <w:caps w:val="false"/>
          <w:smallCaps w:val="false"/>
          <w:sz w:val="20"/>
        </w:rPr>
        <w:t xml:space="preserve">Exhibit 32.1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certification is being furnished solely to accompany the Annual Report on Form 10-K of Puma Biotechnology, Inc. for the year ended December 31,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 Alan H. Auerbach, certify, pursuant to 18 U.S.C. Section 1350, as adopted pursuant to Section 906 of the Sarbanes-Oxley Act of 2002, that the Annual Report on Form 10-K of Puma Biotechnology, Inc. for the year ended December 31, 2025,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985"/>
        <w:gridCol w:w="222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26, 2026</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198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7" w:name="ex_896268.htm"/>
      <w:bookmarkStart w:id="58" w:name="ksex_896268"/>
      <w:bookmarkEnd w:id="57"/>
      <w:bookmarkEnd w:id="58"/>
      <w:r>
        <w:rPr>
          <w:rFonts w:ascii="Times New Roman" w:hAnsi="Times New Roman"/>
          <w:b/>
          <w:caps w:val="false"/>
          <w:smallCaps w:val="false"/>
          <w:sz w:val="20"/>
        </w:rPr>
        <w:t xml:space="preserve">Exhibit 32.2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The following certification is being furnished solely to accompany the Annual Report on Form 10-K of Puma Biotechnology, Inc. for the year ended December 31,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 Maximo F. Nougues, certify, pursuant to 18 U.S.C. Section 1350, as adopted pursuant to Section 906 of the Sarbanes-Oxley Act of 2002, that the Annual Report on Form 10-K of Puma Biotechnology, Inc. for the year ended December 31, 2025,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26,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19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01667/000119312511262893/d237835dex21.htm" TargetMode="External"/><Relationship Id="rId5" Type="http://schemas.openxmlformats.org/officeDocument/2006/relationships/hyperlink" Target="http://www.sec.gov/Archives/edgar/data/1401667/000119312511268481/d232430dex31.htm" TargetMode="External"/><Relationship Id="rId6" Type="http://schemas.openxmlformats.org/officeDocument/2006/relationships/hyperlink" Target="http://www.sec.gov/Archives/edgar/data/1401667/000119312511268481/d232430dex32.htm" TargetMode="External"/><Relationship Id="rId7" Type="http://schemas.openxmlformats.org/officeDocument/2006/relationships/hyperlink" Target="http://www.sec.gov/Archives/edgar/data/1401667/000119312516622448/d178772dex31.htm" TargetMode="External"/><Relationship Id="rId8" Type="http://schemas.openxmlformats.org/officeDocument/2006/relationships/hyperlink" Target="http://www.sec.gov/Archives/edgar/data/1401667/000143774925021153/ex_833086.htm" TargetMode="External"/><Relationship Id="rId9" Type="http://schemas.openxmlformats.org/officeDocument/2006/relationships/hyperlink" Target="http://www.sec.gov/Archives/edgar/data/1401667/000119312512034307/d263267dex41.htm" TargetMode="External"/><Relationship Id="rId10" Type="http://schemas.openxmlformats.org/officeDocument/2006/relationships/hyperlink" Target="http://www.sec.gov/Archives/edgar/data/1401667/000119312511268481/d232430dex42.htm" TargetMode="External"/><Relationship Id="rId11" Type="http://schemas.openxmlformats.org/officeDocument/2006/relationships/hyperlink" Target="http://www.sec.gov/Archives/edgar/data/1401667/000119312521192345/d166096dex41.htm" TargetMode="External"/><Relationship Id="rId12" Type="http://schemas.openxmlformats.org/officeDocument/2006/relationships/hyperlink" Target="http://www.sec.gov/Archives/edgar/data/1401667/000119312511343919/d271369dex101.htm" TargetMode="External"/><Relationship Id="rId13" Type="http://schemas.openxmlformats.org/officeDocument/2006/relationships/hyperlink" Target="http://www.sec.gov/Archives/edgar/data/1401667/000156459014005392/pbyi-ex101_20140930765.htm" TargetMode="External"/><Relationship Id="rId14" Type="http://schemas.openxmlformats.org/officeDocument/2006/relationships/hyperlink" Target="http://www.sec.gov/Archives/edgar/data/1401667/000156459020037821/pbyi-ex102_54.htm" TargetMode="External"/><Relationship Id="rId15" Type="http://schemas.openxmlformats.org/officeDocument/2006/relationships/hyperlink" Target="http://www.sec.gov/Archives/edgar/data/1401667/000156459021009840/pbyi-ex101d_196.htm" TargetMode="External"/><Relationship Id="rId16" Type="http://schemas.openxmlformats.org/officeDocument/2006/relationships/hyperlink" Target="http://www.sec.gov/Archives/edgar/data/1401667/000119312511268481/d232430dex104.htm" TargetMode="External"/><Relationship Id="rId17" Type="http://schemas.openxmlformats.org/officeDocument/2006/relationships/hyperlink" Target="http://www.sec.gov/Archives/edgar/data/1401667/000119312514172013/d713662ddef14a.htm" TargetMode="External"/><Relationship Id="rId18" Type="http://schemas.openxmlformats.org/officeDocument/2006/relationships/hyperlink" Target="http://www.sec.gov/Archives/edgar/data/1401667/000156459015006819/pbyi-ex101_82.htm" TargetMode="External"/><Relationship Id="rId19" Type="http://schemas.openxmlformats.org/officeDocument/2006/relationships/hyperlink" Target="http://www.sec.gov/Archives/edgar/data/1401667/000119312517203545/d410855dex101.htm" TargetMode="External"/><Relationship Id="rId20" Type="http://schemas.openxmlformats.org/officeDocument/2006/relationships/hyperlink" Target="http://www.sec.gov/Archives/edgar/data/1401667/000119312517203545/d410855dex102.htm" TargetMode="External"/><Relationship Id="rId21" Type="http://schemas.openxmlformats.org/officeDocument/2006/relationships/hyperlink" Target="http://www.sec.gov/Archives/edgar/data/1401667/000119312521192345/d166096dex101.htm" TargetMode="External"/><Relationship Id="rId22" Type="http://schemas.openxmlformats.org/officeDocument/2006/relationships/hyperlink" Target="http://www.sec.gov/ix?doc=/Archives/edgar/data/0001401667/000143774924021086/pbyi20240621_8k.htm" TargetMode="External"/><Relationship Id="rId23" Type="http://schemas.openxmlformats.org/officeDocument/2006/relationships/hyperlink" Target="http://www.sec.gov/Archives/edgar/data/1401667/000119312517189320/d514308dex991.htm" TargetMode="External"/><Relationship Id="rId24" Type="http://schemas.openxmlformats.org/officeDocument/2006/relationships/hyperlink" Target="http://www.sec.gov/Archives/edgar/data/1401667/000119312520053765/d878257dex992.htm" TargetMode="External"/><Relationship Id="rId25" Type="http://schemas.openxmlformats.org/officeDocument/2006/relationships/hyperlink" Target="http://www.sec.gov/Archives/edgar/data/1401667/000119312521275112/d232895dex9912.htm" TargetMode="External"/><Relationship Id="rId26" Type="http://schemas.openxmlformats.org/officeDocument/2006/relationships/hyperlink" Target="http://www.sec.gov/Archives/edgar/data/1401667/000119312512139883/d274660dex105.htm" TargetMode="External"/><Relationship Id="rId27" Type="http://schemas.openxmlformats.org/officeDocument/2006/relationships/hyperlink" Target="http://www.sec.gov/Archives/edgar/data/1401667/000119312516738910/d274603dex101.htm" TargetMode="External"/><Relationship Id="rId28" Type="http://schemas.openxmlformats.org/officeDocument/2006/relationships/hyperlink" Target="http://www.sec.gov/Archives/edgar/data/1401667/000156459019005830/pbyi-ex102k_536.htm" TargetMode="External"/><Relationship Id="rId29" Type="http://schemas.openxmlformats.org/officeDocument/2006/relationships/hyperlink" Target="http://www.sec.gov/Archives/edgar/data/1401667/000143774925005496/ex_780360.htm" TargetMode="External"/><Relationship Id="rId30" Type="http://schemas.openxmlformats.org/officeDocument/2006/relationships/hyperlink" Target="http://www.sec.gov/Archives/edgar/data/1401667/000119312511339568/d269128dex101.htm" TargetMode="External"/><Relationship Id="rId31" Type="http://schemas.openxmlformats.org/officeDocument/2006/relationships/hyperlink" Target="http://www.sec.gov/Archives/edgar/data/1401667/000119312513136650/d447892dex1013b.htm" TargetMode="External"/><Relationship Id="rId32" Type="http://schemas.openxmlformats.org/officeDocument/2006/relationships/hyperlink" Target="http://www.sec.gov/Archives/edgar/data/1401667/000119312514080183/d658968dex106c.htm" TargetMode="External"/><Relationship Id="rId33" Type="http://schemas.openxmlformats.org/officeDocument/2006/relationships/hyperlink" Target="http://www.sec.gov/Archives/edgar/data/1401667/000156459015001193/pbyi-ex105d_20141231530.htm" TargetMode="External"/><Relationship Id="rId34" Type="http://schemas.openxmlformats.org/officeDocument/2006/relationships/hyperlink" Target="http://www.sec.gov/Archives/edgar/data/1401667/000156459015010147/pbyi-ex101_200.htm" TargetMode="External"/><Relationship Id="rId35" Type="http://schemas.openxmlformats.org/officeDocument/2006/relationships/hyperlink" Target="http://www.sec.gov/Archives/edgar/data/1401667/000143774925025470/ex_849252.htm" TargetMode="External"/><Relationship Id="rId36" Type="http://schemas.openxmlformats.org/officeDocument/2006/relationships/hyperlink" Target="http://www.sec.gov/Archives/edgar/data/1401667/000143774925025470/ex_848952.htm" TargetMode="External"/><Relationship Id="rId37" Type="http://schemas.openxmlformats.org/officeDocument/2006/relationships/hyperlink" Target="http://www.sec.gov/Archives/edgar/data/1401667/000119312512020537/d287061dex101.htm" TargetMode="External"/><Relationship Id="rId38" Type="http://schemas.openxmlformats.org/officeDocument/2006/relationships/hyperlink" Target="http://www.sec.gov/Archives/edgar/data/1401667/000119312512269572/d364889dex101.htm" TargetMode="External"/><Relationship Id="rId39" Type="http://schemas.openxmlformats.org/officeDocument/2006/relationships/hyperlink" Target="http://www.sec.gov/Archives/edgar/data/1401667/000119312514211644/d733498dex101.htm" TargetMode="External"/><Relationship Id="rId40" Type="http://schemas.openxmlformats.org/officeDocument/2006/relationships/hyperlink" Target="http://www.sec.gov/Archives/edgar/data/1401667/000156459015006819/pbyi-ex102_132.htm" TargetMode="External"/><Relationship Id="rId41" Type="http://schemas.openxmlformats.org/officeDocument/2006/relationships/hyperlink" Target="http://www.sec.gov/Archives/edgar/data/1401667/000156459015010147/pbyi-ex102_201.htm" TargetMode="External"/><Relationship Id="rId42" Type="http://schemas.openxmlformats.org/officeDocument/2006/relationships/hyperlink" Target="http://www.sec.gov/Archives/edgar/data/1401667/000119312512423048/d416331dex1017.htm" TargetMode="External"/><Relationship Id="rId43" Type="http://schemas.openxmlformats.org/officeDocument/2006/relationships/hyperlink" Target="http://www.sec.gov/Archives/edgar/data/1401667/000143774922011142/ex_346524.htm" TargetMode="External"/><Relationship Id="rId44" Type="http://schemas.openxmlformats.org/officeDocument/2006/relationships/hyperlink" Target="http://www.sec.gov/Archives/edgar/data/1401667/000156459018005152/pbyi-ex1013_148.htm" TargetMode="External"/><Relationship Id="rId45" Type="http://schemas.openxmlformats.org/officeDocument/2006/relationships/hyperlink" Target="http://www.sec.gov/Archives/edgar/data/1401667/000156459018021046/pbyi-ex102_632.htm" TargetMode="External"/><Relationship Id="rId46" Type="http://schemas.openxmlformats.org/officeDocument/2006/relationships/hyperlink" Target="http://www.sec.gov/Archives/edgar/data/1401667/000156459018005152/pbyi-ex1015_150.htm" TargetMode="External"/><Relationship Id="rId47" Type="http://schemas.openxmlformats.org/officeDocument/2006/relationships/hyperlink" Target="http://www.sec.gov/Archives/edgar/data/1401667/000156459018013008/pbyi-ex101_258.htm" TargetMode="External"/><Relationship Id="rId48" Type="http://schemas.openxmlformats.org/officeDocument/2006/relationships/hyperlink" Target="http://www.sec.gov/Archives/edgar/data/1401667/000156459019005830/pbyi-ex1015b_713.htm" TargetMode="External"/><Relationship Id="rId49" Type="http://schemas.openxmlformats.org/officeDocument/2006/relationships/hyperlink" Target="http://www.sec.gov/Archives/edgar/data/1401667/000156459021024942/pbyi-ex102_133.htm" TargetMode="External"/><Relationship Id="rId50" Type="http://schemas.openxmlformats.org/officeDocument/2006/relationships/hyperlink" Target="http://www.sec.gov/Archives/edgar/data/1401667/000156459021024942/pbyi-ex102_133.htm" TargetMode="External"/><Relationship Id="rId51" Type="http://schemas.openxmlformats.org/officeDocument/2006/relationships/hyperlink" Target="http://www.sec.gov/Archives/edgar/data/1401667/000156459021024942/pbyi-ex102_133.htm" TargetMode="External"/><Relationship Id="rId52" Type="http://schemas.openxmlformats.org/officeDocument/2006/relationships/hyperlink" Target="http://www.sec.gov/Archives/edgar/data/1401667/000156459018013008/pbyi-ex102_259.htm" TargetMode="External"/><Relationship Id="rId53" Type="http://schemas.openxmlformats.org/officeDocument/2006/relationships/hyperlink" Target="http://www.sec.gov/Archives/edgar/data/1401667/000156459018021046/pbyi-ex103_634.htm" TargetMode="External"/><Relationship Id="rId54" Type="http://schemas.openxmlformats.org/officeDocument/2006/relationships/hyperlink" Target="http://www.sec.gov/Archives/edgar/data/1401667/000119312518322873/d635442dex101.htm" TargetMode="External"/><Relationship Id="rId55" Type="http://schemas.openxmlformats.org/officeDocument/2006/relationships/hyperlink" Target="http://www.sec.gov/Archives/edgar/data/1401667/000156459019005830/pbyi-ex1019_623.htm" TargetMode="External"/><Relationship Id="rId56" Type="http://schemas.openxmlformats.org/officeDocument/2006/relationships/hyperlink" Target="http://www.sec.gov/Archives/edgar/data/1401667/000156459020007591/pbyi-ex1017b_376.htm" TargetMode="External"/><Relationship Id="rId57" Type="http://schemas.openxmlformats.org/officeDocument/2006/relationships/hyperlink" Target="http://www.sec.gov/Archives/edgar/data/1401667/000156459019018584/pbyi-ex103_259.htm" TargetMode="External"/><Relationship Id="rId58" Type="http://schemas.openxmlformats.org/officeDocument/2006/relationships/hyperlink" Target="http://www.sec.gov/Archives/edgar/data/1401667/000156459020007591/pbyi-ex1018b_375.htm" TargetMode="External"/><Relationship Id="rId59" Type="http://schemas.openxmlformats.org/officeDocument/2006/relationships/hyperlink" Target="http://www.sec.gov/Archives/edgar/data/1401667/000156459020007591/pbyi-ex1018c_374.htm" TargetMode="External"/><Relationship Id="rId60" Type="http://schemas.openxmlformats.org/officeDocument/2006/relationships/hyperlink" Target="http://www.sec.gov/Archives/edgar/data/1401667/000156459021024942/pbyi-ex103_132.htm" TargetMode="External"/><Relationship Id="rId61" Type="http://schemas.openxmlformats.org/officeDocument/2006/relationships/hyperlink" Target="http://www.sec.gov/Archives/edgar/data/1401667/000143774921025298/ex_301580.htm" TargetMode="External"/><Relationship Id="rId62" Type="http://schemas.openxmlformats.org/officeDocument/2006/relationships/hyperlink" Target="http://www.sec.gov/Archives/edgar/data/1401667/000143774922005164/ex_342077.htm" TargetMode="External"/><Relationship Id="rId63" Type="http://schemas.openxmlformats.org/officeDocument/2006/relationships/hyperlink" Target="http://www.sec.gov/Archives/edgar/data/1401667/000143774923005233/ex_482433.htm" TargetMode="External"/><Relationship Id="rId64" Type="http://schemas.openxmlformats.org/officeDocument/2006/relationships/hyperlink" Target="http://www.sec.gov/Archives/edgar/data/1401667/000143774922025787/ex_440535.htm" TargetMode="External"/><Relationship Id="rId65" Type="http://schemas.openxmlformats.org/officeDocument/2006/relationships/hyperlink" Target="http://www.sec.gov/Archives/edgar/data/1401667/000143774923005233/ex_482434.htm" TargetMode="External"/><Relationship Id="rId66" Type="http://schemas.openxmlformats.org/officeDocument/2006/relationships/hyperlink" Target="http://www.sec.gov/Archives/edgar/data/1401667/000143774923021972/ex_553144.htm" TargetMode="External"/><Relationship Id="rId67" Type="http://schemas.openxmlformats.org/officeDocument/2006/relationships/hyperlink" Target="http://www.sec.gov/Archives/edgar/data/1401667/000143774923030028/ex_568692.htm" TargetMode="External"/><Relationship Id="rId68" Type="http://schemas.openxmlformats.org/officeDocument/2006/relationships/hyperlink" Target="http://www.sec.gov/ix?doc=/Archives/edgar/data/0001401667/000143774924024309/pbyi20240630_10q.htm" TargetMode="External"/><Relationship Id="rId69" Type="http://schemas.openxmlformats.org/officeDocument/2006/relationships/hyperlink" Target="http://www.sec.gov/Archives/edgar/data/1401667/000143774925033633/ex_856744.htm" TargetMode="External"/><Relationship Id="rId70" Type="http://schemas.openxmlformats.org/officeDocument/2006/relationships/hyperlink" Target="http://www.sec.gov/Archives/edgar/data/1401667/000143774921025336/ex_302823.htm" TargetMode="External"/><Relationship Id="rId71" Type="http://schemas.openxmlformats.org/officeDocument/2006/relationships/hyperlink" Target="http://www.sec.gov/Archives/edgar/data/1401667/000143774922025787/ex_440480.htm" TargetMode="External"/><Relationship Id="rId72" Type="http://schemas.openxmlformats.org/officeDocument/2006/relationships/hyperlink" Target="http://www.sec.gov/Archives/edgar/data/1401667/000143774924006121/ex_627486.htm" TargetMode="External"/><Relationship Id="rId73" Type="http://schemas.openxmlformats.org/officeDocument/2006/relationships/image" Target="media/image3.jpeg"/><Relationship Id="rId74" Type="http://schemas.openxmlformats.org/officeDocument/2006/relationships/image" Target="media/image4.jpeg"/><Relationship Id="rId75" Type="http://schemas.openxmlformats.org/officeDocument/2006/relationships/image" Target="media/image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107865</Words>
  <Characters>600391</Characters>
  <CharactersWithSpaces>710536</CharactersWithSpaces>
  <Paragraphs>10605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