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byi20250930_10q.htm"/>
      <w:bookmarkStart w:id="1" w:name="kspbyi20250930_10q"/>
      <w:bookmarkEnd w:id="0"/>
      <w:bookmarkEnd w:id="1"/>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10-Q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30"/>
        <w:gridCol w:w="992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30"/>
        <w:gridCol w:w="99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001-35703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 xml:space="preserve">PUMA BIOTECHNOLOGY,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77-0683487</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10880 Wilshire Boulevard, Suite 2150, Los Angeles, CA 90024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(Address of principal executive offices) (Zip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(424) 248-6500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 xml:space="preserve">s telephone number, including area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185"/>
        <w:gridCol w:w="800"/>
        <w:gridCol w:w="3350"/>
      </w:tblGrid>
      <w:tr>
        <w:trPr/>
        <w:tc>
          <w:tcPr>
            <w:tcW w:w="31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Symbol(s)</w:t>
            </w:r>
          </w:p>
        </w:tc>
        <w:tc>
          <w:tcPr>
            <w:tcW w:w="33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7335" w:type="dxa"/>
            <w:gridSpan w:val="3"/>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$0.0001 per share</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PBYI</w:t>
            </w:r>
          </w:p>
        </w:tc>
        <w:tc>
          <w:tcPr>
            <w:tcW w:w="335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w:t>
      </w:r>
      <w:r>
        <w:rPr>
          <w:rFonts w:ascii="Times New Roman" w:hAnsi="Times New Roman"/>
          <w:caps w:val="false"/>
          <w:smallCaps w:val="false"/>
          <w:sz w:val="18"/>
          <w:shd w:fill="FFFFFF" w:val="clear"/>
        </w:rPr>
        <w:t>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w:t>
      </w:r>
      <w:r>
        <w:rPr>
          <w:rFonts w:ascii="Times New Roman" w:hAnsi="Times New Roman"/>
          <w:caps w:val="false"/>
          <w:smallCaps w:val="false"/>
          <w:sz w:val="18"/>
          <w:shd w:fill="FFFFFF" w:val="clear"/>
        </w:rPr>
        <w:t>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Smaller reporting company</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shd w:fill="FFFFFF" w:val="clear"/>
        </w:rPr>
        <w:t>Indicate the number of shares outstanding of each of the issuer</w:t>
      </w:r>
      <w:r>
        <w:rPr>
          <w:rFonts w:ascii="Times New Roman" w:hAnsi="Times New Roman"/>
          <w:caps w:val="false"/>
          <w:smallCaps w:val="false"/>
          <w:sz w:val="18"/>
        </w:rPr>
        <w:t>’</w:t>
      </w:r>
      <w:r>
        <w:rPr>
          <w:rFonts w:ascii="Times New Roman" w:hAnsi="Times New Roman"/>
          <w:caps w:val="false"/>
          <w:smallCaps w:val="false"/>
          <w:sz w:val="18"/>
          <w:shd w:fill="FFFFFF" w:val="clear"/>
        </w:rPr>
        <w:t>s classes of common stock, as of t</w:t>
      </w:r>
      <w:r>
        <w:rPr>
          <w:rFonts w:ascii="Times New Roman" w:hAnsi="Times New Roman"/>
          <w:caps w:val="false"/>
          <w:smallCaps w:val="false"/>
          <w:sz w:val="18"/>
        </w:rPr>
        <w:t>he latest practicable date. 50,391,107 shares of Common Stock, par value $0.0001 per share, were outstand</w:t>
      </w:r>
      <w:r>
        <w:rPr>
          <w:rFonts w:ascii="Times New Roman" w:hAnsi="Times New Roman"/>
          <w:caps w:val="false"/>
          <w:smallCaps w:val="false"/>
          <w:sz w:val="18"/>
          <w:shd w:fill="FFFFFF" w:val="clear"/>
        </w:rPr>
        <w:t>ing as of </w:t>
      </w:r>
      <w:r>
        <w:rPr>
          <w:rFonts w:ascii="Times New Roman" w:hAnsi="Times New Roman"/>
          <w:caps w:val="false"/>
          <w:smallCaps w:val="false"/>
          <w:sz w:val="18"/>
        </w:rPr>
        <w:t>November 3,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PUMA BIOTECHNOLOGY,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INDEX -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47"/>
        <w:gridCol w:w="8942"/>
        <w:gridCol w:w="516"/>
      </w:tblGrid>
      <w:tr>
        <w:trPr/>
        <w:tc>
          <w:tcPr>
            <w:tcW w:w="9689" w:type="dxa"/>
            <w:gridSpan w:val="2"/>
            <w:tcBorders/>
            <w:vAlign w:val="center"/>
          </w:tcPr>
          <w:p>
            <w:pPr>
              <w:pStyle w:val="TableContents"/>
              <w:bidi w:val="0"/>
              <w:spacing w:before="0" w:after="283"/>
              <w:jc w:val="left"/>
              <w:rPr/>
            </w:pPr>
            <w:r>
              <w:rPr/>
              <w:t> </w:t>
            </w:r>
          </w:p>
        </w:tc>
        <w:tc>
          <w:tcPr>
            <w:tcW w:w="51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689" w:type="dxa"/>
            <w:gridSpan w:val="2"/>
            <w:tcBorders/>
            <w:vAlign w:val="center"/>
          </w:tcPr>
          <w:p>
            <w:pPr>
              <w:pStyle w:val="TableContents"/>
              <w:bidi w:val="0"/>
              <w:spacing w:before="0" w:after="0"/>
              <w:ind w:left="240" w:right="0" w:hanging="240"/>
              <w:jc w:val="left"/>
              <w:rPr/>
            </w:pPr>
            <w:hyperlink w:anchor="parti">
              <w:r>
                <w:rPr>
                  <w:rStyle w:val="InternetLink"/>
                  <w:rFonts w:ascii="Times New Roman;Times;serif" w:hAnsi="Times New Roman;Times;serif"/>
                  <w:b/>
                  <w:caps w:val="false"/>
                  <w:smallCaps w:val="false"/>
                  <w:sz w:val="20"/>
                  <w:u w:val="single"/>
                </w:rPr>
                <w:t xml:space="preserve">PART I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w:t>
              </w:r>
            </w:hyperlink>
            <w:hyperlink w:anchor="parti">
              <w:r>
                <w:rPr>
                  <w:rStyle w:val="InternetLink"/>
                  <w:rFonts w:ascii="Times New Roman;Times;serif" w:hAnsi="Times New Roman;Times;serif"/>
                  <w:b/>
                  <w:caps w:val="false"/>
                  <w:smallCaps w:val="false"/>
                  <w:sz w:val="20"/>
                  <w:u w:val="single"/>
                </w:rPr>
                <w:t>FINANCIAL INFORMATION:</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942"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u w:val="single"/>
                </w:rPr>
                <w:t>Financial Statements (Unaudited):</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caps w:val="false"/>
                  <w:smallCaps w:val="false"/>
                  <w:sz w:val="20"/>
                  <w:u w:val="single"/>
                </w:rPr>
                <w:t>Condensed Consolidated Balance Sheets as of September 30, 2025 and December 31, 2024</w:t>
              </w:r>
            </w:hyperlink>
          </w:p>
        </w:tc>
        <w:tc>
          <w:tcPr>
            <w:tcW w:w="51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260" w:right="0" w:hanging="260"/>
              <w:jc w:val="left"/>
              <w:rPr/>
            </w:pPr>
            <w:hyperlink w:anchor="income">
              <w:r>
                <w:rPr>
                  <w:rStyle w:val="InternetLink"/>
                  <w:rFonts w:ascii="Times New Roman;Times;serif" w:hAnsi="Times New Roman;Times;serif"/>
                  <w:caps w:val="false"/>
                  <w:smallCaps w:val="false"/>
                  <w:sz w:val="20"/>
                  <w:u w:val="single"/>
                </w:rPr>
                <w:t>Condensed Consolidated Statements of Operations for the Three and Nine Months Ended September 30, 2025 and 2024</w:t>
              </w:r>
            </w:hyperlink>
          </w:p>
        </w:tc>
        <w:tc>
          <w:tcPr>
            <w:tcW w:w="51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260" w:right="0" w:hanging="260"/>
              <w:jc w:val="left"/>
              <w:rPr/>
            </w:pPr>
            <w:hyperlink w:anchor="compinc">
              <w:r>
                <w:rPr>
                  <w:rStyle w:val="InternetLink"/>
                  <w:rFonts w:ascii="Times New Roman;Times;serif" w:hAnsi="Times New Roman;Times;serif"/>
                  <w:caps w:val="false"/>
                  <w:smallCaps w:val="false"/>
                  <w:sz w:val="20"/>
                  <w:u w:val="single"/>
                </w:rPr>
                <w:t>Condensed Consolidated Statements of Comprehensive Income for the Three and Nine Months Ended September 30, 2025 and 2024</w:t>
              </w:r>
            </w:hyperlink>
          </w:p>
        </w:tc>
        <w:tc>
          <w:tcPr>
            <w:tcW w:w="51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260" w:right="0" w:hanging="260"/>
              <w:jc w:val="left"/>
              <w:rPr/>
            </w:pPr>
            <w:hyperlink w:anchor="she">
              <w:r>
                <w:rPr>
                  <w:rStyle w:val="InternetLink"/>
                  <w:rFonts w:ascii="Times New Roman;Times;serif" w:hAnsi="Times New Roman;Times;serif"/>
                  <w:caps w:val="false"/>
                  <w:smallCaps w:val="false"/>
                  <w:sz w:val="20"/>
                  <w:u w:val="single"/>
                </w:rPr>
                <w:t>Condensed Consolidated Statements of Stockholder</w:t>
              </w:r>
            </w:hyperlink>
            <w:hyperlink w:anchor="she">
              <w:r>
                <w:rPr>
                  <w:rStyle w:val="InternetLink"/>
                  <w:rFonts w:ascii="Times New Roman;Times;serif" w:hAnsi="Times New Roman;Times;serif"/>
                  <w:caps w:val="false"/>
                  <w:smallCaps w:val="false"/>
                  <w:sz w:val="20"/>
                  <w:u w:val="single"/>
                  <w:shd w:fill="FFFFFF" w:val="clear"/>
                </w:rPr>
                <w:t>s</w:t>
              </w:r>
            </w:hyperlink>
            <w:hyperlink w:anchor="she">
              <w:r>
                <w:rPr>
                  <w:rStyle w:val="InternetLink"/>
                  <w:rFonts w:ascii="Times New Roman;Times;serif" w:hAnsi="Times New Roman;Times;serif"/>
                  <w:caps w:val="false"/>
                  <w:smallCaps w:val="false"/>
                  <w:sz w:val="20"/>
                  <w:shd w:fill="FFFFFF" w:val="clear"/>
                </w:rPr>
                <w:t>’</w:t>
              </w:r>
            </w:hyperlink>
            <w:hyperlink w:anchor="she">
              <w:r>
                <w:rPr>
                  <w:rStyle w:val="InternetLink"/>
                  <w:rFonts w:ascii="Times New Roman;Times;serif" w:hAnsi="Times New Roman;Times;serif"/>
                  <w:caps w:val="false"/>
                  <w:smallCaps w:val="false"/>
                  <w:sz w:val="20"/>
                  <w:u w:val="single"/>
                  <w:shd w:fill="FFFFFF" w:val="clear"/>
                </w:rPr>
                <w:t> Equity for</w:t>
              </w:r>
            </w:hyperlink>
            <w:hyperlink w:anchor="she">
              <w:r>
                <w:rPr>
                  <w:rStyle w:val="InternetLink"/>
                  <w:rFonts w:ascii="Times New Roman;Times;serif" w:hAnsi="Times New Roman;Times;serif"/>
                  <w:caps w:val="false"/>
                  <w:smallCaps w:val="false"/>
                  <w:sz w:val="20"/>
                  <w:u w:val="single"/>
                </w:rPr>
                <w:t xml:space="preserve"> the Three and Nine Months Ended September 30, 2025 and 2024</w:t>
              </w:r>
            </w:hyperlink>
          </w:p>
        </w:tc>
        <w:tc>
          <w:tcPr>
            <w:tcW w:w="51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260" w:right="0" w:hanging="260"/>
              <w:jc w:val="left"/>
              <w:rPr/>
            </w:pPr>
            <w:hyperlink w:anchor="cf">
              <w:r>
                <w:rPr>
                  <w:rStyle w:val="InternetLink"/>
                  <w:rFonts w:ascii="Times New Roman;Times;serif" w:hAnsi="Times New Roman;Times;serif"/>
                  <w:caps w:val="false"/>
                  <w:smallCaps w:val="false"/>
                  <w:sz w:val="20"/>
                  <w:u w:val="single"/>
                </w:rPr>
                <w:t>Condensed Consolidated Statements of Cash Flows for the Nine Months Ended September 30, 2025 and 2024</w:t>
              </w:r>
            </w:hyperlink>
          </w:p>
        </w:tc>
        <w:tc>
          <w:tcPr>
            <w:tcW w:w="516"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caps w:val="false"/>
                  <w:smallCaps w:val="false"/>
                  <w:sz w:val="20"/>
                </w:rPr>
                <w:t>6</w:t>
              </w:r>
            </w:hyperlink>
          </w:p>
        </w:tc>
      </w:tr>
      <w:tr>
        <w:trPr/>
        <w:tc>
          <w:tcPr>
            <w:tcW w:w="747"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caps w:val="false"/>
                  <w:smallCaps w:val="false"/>
                  <w:sz w:val="20"/>
                  <w:u w:val="single"/>
                </w:rPr>
                <w:t>Notes to the Unaudited Condensed Consolidated Financial Statements</w:t>
              </w:r>
            </w:hyperlink>
          </w:p>
        </w:tc>
        <w:tc>
          <w:tcPr>
            <w:tcW w:w="51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7</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942" w:type="dxa"/>
            <w:tcBorders/>
            <w:vAlign w:val="center"/>
          </w:tcPr>
          <w:p>
            <w:pPr>
              <w:pStyle w:val="TableContents"/>
              <w:bidi w:val="0"/>
              <w:spacing w:before="0" w:after="0"/>
              <w:ind w:left="0" w:right="0" w:hanging="0"/>
              <w:jc w:val="left"/>
              <w:rPr/>
            </w:pPr>
            <w:hyperlink w:anchor="mda">
              <w:r>
                <w:rPr>
                  <w:rStyle w:val="InternetLink"/>
                  <w:rFonts w:ascii="Times New Roman;Times;serif" w:hAnsi="Times New Roman;Times;serif"/>
                  <w:caps w:val="false"/>
                  <w:smallCaps w:val="false"/>
                  <w:sz w:val="20"/>
                  <w:u w:val="single"/>
                </w:rPr>
                <w:t>Management</w:t>
              </w:r>
            </w:hyperlink>
            <w:hyperlink w:anchor="mda">
              <w:r>
                <w:rPr>
                  <w:rStyle w:val="InternetLink"/>
                  <w:rFonts w:ascii="Times New Roman;Times;serif" w:hAnsi="Times New Roman;Times;serif"/>
                  <w:caps w:val="false"/>
                  <w:smallCaps w:val="false"/>
                  <w:sz w:val="20"/>
                </w:rPr>
                <w:t>’</w:t>
              </w:r>
            </w:hyperlink>
            <w:hyperlink w:anchor="mda">
              <w:r>
                <w:rPr>
                  <w:rStyle w:val="InternetLink"/>
                  <w:rFonts w:ascii="Times New Roman;Times;serif" w:hAnsi="Times New Roman;Times;serif"/>
                  <w:caps w:val="false"/>
                  <w:smallCaps w:val="false"/>
                  <w:sz w:val="20"/>
                  <w:u w:val="single"/>
                </w:rPr>
                <w:t>s Discussion and Analysis of Financial Condition and Results of Operations</w:t>
              </w:r>
            </w:hyperlink>
          </w:p>
        </w:tc>
        <w:tc>
          <w:tcPr>
            <w:tcW w:w="51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27</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942" w:type="dxa"/>
            <w:tcBorders/>
            <w:vAlign w:val="center"/>
          </w:tcPr>
          <w:p>
            <w:pPr>
              <w:pStyle w:val="TableContents"/>
              <w:bidi w:val="0"/>
              <w:spacing w:before="0" w:after="0"/>
              <w:ind w:left="0" w:right="0" w:hanging="0"/>
              <w:jc w:val="left"/>
              <w:rPr/>
            </w:pPr>
            <w:hyperlink w:anchor="qqdmr">
              <w:r>
                <w:rPr>
                  <w:rStyle w:val="InternetLink"/>
                  <w:rFonts w:ascii="Times New Roman;Times;serif" w:hAnsi="Times New Roman;Times;serif"/>
                  <w:caps w:val="false"/>
                  <w:smallCaps w:val="false"/>
                  <w:sz w:val="20"/>
                  <w:u w:val="single"/>
                </w:rPr>
                <w:t>Quantitative and Qualitative Disclosures About Market Risk</w:t>
              </w:r>
            </w:hyperlink>
          </w:p>
        </w:tc>
        <w:tc>
          <w:tcPr>
            <w:tcW w:w="516" w:type="dxa"/>
            <w:tcBorders/>
            <w:vAlign w:val="center"/>
          </w:tcPr>
          <w:p>
            <w:pPr>
              <w:pStyle w:val="TableContents"/>
              <w:bidi w:val="0"/>
              <w:spacing w:before="0" w:after="0"/>
              <w:ind w:left="0" w:right="0" w:hanging="0"/>
              <w:jc w:val="right"/>
              <w:rPr/>
            </w:pPr>
            <w:hyperlink w:anchor="qqdmr">
              <w:r>
                <w:rPr>
                  <w:rStyle w:val="InternetLink"/>
                  <w:rFonts w:ascii="Times New Roman;Times;serif" w:hAnsi="Times New Roman;Times;serif"/>
                  <w:caps w:val="false"/>
                  <w:smallCaps w:val="false"/>
                  <w:sz w:val="20"/>
                </w:rPr>
                <w:t>35</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942" w:type="dxa"/>
            <w:tcBorders/>
            <w:vAlign w:val="center"/>
          </w:tcPr>
          <w:p>
            <w:pPr>
              <w:pStyle w:val="TableContents"/>
              <w:bidi w:val="0"/>
              <w:spacing w:before="0" w:after="0"/>
              <w:ind w:left="0" w:right="0" w:hanging="0"/>
              <w:jc w:val="left"/>
              <w:rPr/>
            </w:pPr>
            <w:hyperlink w:anchor="cp">
              <w:r>
                <w:rPr>
                  <w:rStyle w:val="InternetLink"/>
                  <w:rFonts w:ascii="Times New Roman;Times;serif" w:hAnsi="Times New Roman;Times;serif"/>
                  <w:caps w:val="false"/>
                  <w:smallCaps w:val="false"/>
                  <w:sz w:val="20"/>
                  <w:u w:val="single"/>
                </w:rPr>
                <w:t>Controls and Procedures</w:t>
              </w:r>
            </w:hyperlink>
          </w:p>
        </w:tc>
        <w:tc>
          <w:tcPr>
            <w:tcW w:w="516" w:type="dxa"/>
            <w:tcBorders/>
            <w:vAlign w:val="center"/>
          </w:tcPr>
          <w:p>
            <w:pPr>
              <w:pStyle w:val="TableContents"/>
              <w:bidi w:val="0"/>
              <w:spacing w:before="0" w:after="0"/>
              <w:ind w:left="0" w:right="0" w:hanging="0"/>
              <w:jc w:val="right"/>
              <w:rPr/>
            </w:pPr>
            <w:hyperlink w:anchor="cp">
              <w:r>
                <w:rPr>
                  <w:rStyle w:val="InternetLink"/>
                  <w:rFonts w:ascii="Times New Roman;Times;serif" w:hAnsi="Times New Roman;Times;serif"/>
                  <w:caps w:val="false"/>
                  <w:smallCaps w:val="false"/>
                  <w:sz w:val="20"/>
                </w:rPr>
                <w:t>35</w:t>
              </w:r>
            </w:hyperlink>
          </w:p>
        </w:tc>
      </w:tr>
      <w:tr>
        <w:trPr/>
        <w:tc>
          <w:tcPr>
            <w:tcW w:w="9689"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caps w:val="false"/>
                  <w:smallCaps w:val="false"/>
                  <w:sz w:val="20"/>
                  <w:u w:val="single"/>
                </w:rPr>
                <w:t xml:space="preserve">PART II </w:t>
              </w:r>
            </w:hyperlink>
            <w:hyperlink w:anchor="partii">
              <w:r>
                <w:rPr>
                  <w:rStyle w:val="InternetLink"/>
                  <w:rFonts w:ascii="Times New Roman;Times;serif" w:hAnsi="Times New Roman;Times;serif"/>
                  <w:caps w:val="false"/>
                  <w:smallCaps w:val="false"/>
                  <w:sz w:val="20"/>
                </w:rPr>
                <w:t>–</w:t>
              </w:r>
            </w:hyperlink>
            <w:hyperlink w:anchor="partii">
              <w:r>
                <w:rPr>
                  <w:rStyle w:val="InternetLink"/>
                  <w:rFonts w:ascii="Times New Roman;Times;serif" w:hAnsi="Times New Roman;Times;serif"/>
                  <w:caps w:val="false"/>
                  <w:smallCaps w:val="false"/>
                  <w:sz w:val="20"/>
                  <w:u w:val="single"/>
                </w:rPr>
                <w:t> </w:t>
              </w:r>
            </w:hyperlink>
            <w:hyperlink w:anchor="partii">
              <w:r>
                <w:rPr>
                  <w:rStyle w:val="InternetLink"/>
                  <w:rFonts w:ascii="Times New Roman;Times;serif" w:hAnsi="Times New Roman;Times;serif"/>
                  <w:b/>
                  <w:caps w:val="false"/>
                  <w:smallCaps w:val="false"/>
                  <w:sz w:val="20"/>
                  <w:u w:val="single"/>
                </w:rPr>
                <w:t>OTHER INFORMATION:</w:t>
              </w:r>
            </w:hyperlink>
          </w:p>
        </w:tc>
        <w:tc>
          <w:tcPr>
            <w:tcW w:w="51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36</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942"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caps w:val="false"/>
                  <w:smallCaps w:val="false"/>
                  <w:sz w:val="20"/>
                  <w:u w:val="single"/>
                </w:rPr>
                <w:t>Legal Proceedings</w:t>
              </w:r>
            </w:hyperlink>
          </w:p>
        </w:tc>
        <w:tc>
          <w:tcPr>
            <w:tcW w:w="516"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caps w:val="false"/>
                  <w:smallCaps w:val="false"/>
                  <w:sz w:val="20"/>
                </w:rPr>
                <w:t>36</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942" w:type="dxa"/>
            <w:tcBorders/>
            <w:vAlign w:val="center"/>
          </w:tcPr>
          <w:p>
            <w:pPr>
              <w:pStyle w:val="TableContents"/>
              <w:bidi w:val="0"/>
              <w:spacing w:before="0" w:after="0"/>
              <w:ind w:left="0" w:right="0" w:hanging="0"/>
              <w:jc w:val="left"/>
              <w:rPr/>
            </w:pPr>
            <w:hyperlink w:anchor="risks">
              <w:r>
                <w:rPr>
                  <w:rStyle w:val="InternetLink"/>
                  <w:rFonts w:ascii="Times New Roman;Times;serif" w:hAnsi="Times New Roman;Times;serif"/>
                  <w:caps w:val="false"/>
                  <w:smallCaps w:val="false"/>
                  <w:sz w:val="20"/>
                  <w:u w:val="single"/>
                </w:rPr>
                <w:t>Risk Factors</w:t>
              </w:r>
            </w:hyperlink>
          </w:p>
        </w:tc>
        <w:tc>
          <w:tcPr>
            <w:tcW w:w="51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38</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942" w:type="dxa"/>
            <w:tcBorders/>
            <w:vAlign w:val="center"/>
          </w:tcPr>
          <w:p>
            <w:pPr>
              <w:pStyle w:val="TableContents"/>
              <w:bidi w:val="0"/>
              <w:spacing w:before="0" w:after="0"/>
              <w:ind w:left="0" w:right="0" w:hanging="0"/>
              <w:jc w:val="left"/>
              <w:rPr/>
            </w:pPr>
            <w:hyperlink w:anchor="uses">
              <w:r>
                <w:rPr>
                  <w:rStyle w:val="InternetLink"/>
                  <w:rFonts w:ascii="Times New Roman;Times;serif" w:hAnsi="Times New Roman;Times;serif"/>
                  <w:caps w:val="false"/>
                  <w:smallCaps w:val="false"/>
                  <w:sz w:val="20"/>
                  <w:u w:val="single"/>
                </w:rPr>
                <w:t>Unregistered Sales of Equity Securities and Use of Proceeds</w:t>
              </w:r>
            </w:hyperlink>
          </w:p>
        </w:tc>
        <w:tc>
          <w:tcPr>
            <w:tcW w:w="516" w:type="dxa"/>
            <w:tcBorders/>
            <w:vAlign w:val="center"/>
          </w:tcPr>
          <w:p>
            <w:pPr>
              <w:pStyle w:val="TableContents"/>
              <w:bidi w:val="0"/>
              <w:spacing w:before="0" w:after="0"/>
              <w:ind w:left="0" w:right="0" w:hanging="0"/>
              <w:jc w:val="right"/>
              <w:rPr/>
            </w:pPr>
            <w:hyperlink w:anchor="uses">
              <w:r>
                <w:rPr>
                  <w:rStyle w:val="InternetLink"/>
                  <w:rFonts w:ascii="Times New Roman;Times;serif" w:hAnsi="Times New Roman;Times;serif"/>
                  <w:caps w:val="false"/>
                  <w:smallCaps w:val="false"/>
                  <w:sz w:val="20"/>
                </w:rPr>
                <w:t>38</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942" w:type="dxa"/>
            <w:tcBorders/>
            <w:vAlign w:val="center"/>
          </w:tcPr>
          <w:p>
            <w:pPr>
              <w:pStyle w:val="TableContents"/>
              <w:bidi w:val="0"/>
              <w:spacing w:before="0" w:after="0"/>
              <w:ind w:left="0" w:right="0" w:hanging="0"/>
              <w:jc w:val="left"/>
              <w:rPr/>
            </w:pPr>
            <w:hyperlink w:anchor="duss">
              <w:r>
                <w:rPr>
                  <w:rStyle w:val="InternetLink"/>
                  <w:rFonts w:ascii="Times New Roman;Times;serif" w:hAnsi="Times New Roman;Times;serif"/>
                  <w:caps w:val="false"/>
                  <w:smallCaps w:val="false"/>
                  <w:sz w:val="20"/>
                  <w:u w:val="single"/>
                </w:rPr>
                <w:t>Defaults Upon Senior Securities</w:t>
              </w:r>
            </w:hyperlink>
          </w:p>
        </w:tc>
        <w:tc>
          <w:tcPr>
            <w:tcW w:w="516" w:type="dxa"/>
            <w:tcBorders/>
            <w:vAlign w:val="center"/>
          </w:tcPr>
          <w:p>
            <w:pPr>
              <w:pStyle w:val="TableContents"/>
              <w:bidi w:val="0"/>
              <w:spacing w:before="0" w:after="0"/>
              <w:ind w:left="0" w:right="0" w:hanging="0"/>
              <w:jc w:val="right"/>
              <w:rPr/>
            </w:pPr>
            <w:hyperlink w:anchor="duss">
              <w:r>
                <w:rPr>
                  <w:rStyle w:val="InternetLink"/>
                  <w:rFonts w:ascii="Times New Roman;Times;serif" w:hAnsi="Times New Roman;Times;serif"/>
                  <w:caps w:val="false"/>
                  <w:smallCaps w:val="false"/>
                  <w:sz w:val="20"/>
                </w:rPr>
                <w:t>38</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942" w:type="dxa"/>
            <w:tcBorders/>
            <w:vAlign w:val="center"/>
          </w:tcPr>
          <w:p>
            <w:pPr>
              <w:pStyle w:val="TableContents"/>
              <w:bidi w:val="0"/>
              <w:spacing w:before="0" w:after="0"/>
              <w:ind w:left="0" w:right="0" w:hanging="0"/>
              <w:jc w:val="left"/>
              <w:rPr/>
            </w:pPr>
            <w:hyperlink w:anchor="msd">
              <w:r>
                <w:rPr>
                  <w:rStyle w:val="InternetLink"/>
                  <w:rFonts w:ascii="Times New Roman;Times;serif" w:hAnsi="Times New Roman;Times;serif"/>
                  <w:caps w:val="false"/>
                  <w:smallCaps w:val="false"/>
                  <w:sz w:val="20"/>
                  <w:u w:val="single"/>
                </w:rPr>
                <w:t>Mine Safety Disclosures</w:t>
              </w:r>
            </w:hyperlink>
          </w:p>
        </w:tc>
        <w:tc>
          <w:tcPr>
            <w:tcW w:w="516" w:type="dxa"/>
            <w:tcBorders/>
            <w:vAlign w:val="center"/>
          </w:tcPr>
          <w:p>
            <w:pPr>
              <w:pStyle w:val="TableContents"/>
              <w:bidi w:val="0"/>
              <w:spacing w:before="0" w:after="0"/>
              <w:ind w:left="0" w:right="0" w:hanging="0"/>
              <w:jc w:val="right"/>
              <w:rPr/>
            </w:pPr>
            <w:hyperlink w:anchor="msd">
              <w:r>
                <w:rPr>
                  <w:rStyle w:val="InternetLink"/>
                  <w:rFonts w:ascii="Times New Roman;Times;serif" w:hAnsi="Times New Roman;Times;serif"/>
                  <w:caps w:val="false"/>
                  <w:smallCaps w:val="false"/>
                  <w:sz w:val="20"/>
                </w:rPr>
                <w:t>39</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942" w:type="dxa"/>
            <w:tcBorders/>
            <w:vAlign w:val="center"/>
          </w:tcPr>
          <w:p>
            <w:pPr>
              <w:pStyle w:val="TableContents"/>
              <w:bidi w:val="0"/>
              <w:spacing w:before="0" w:after="0"/>
              <w:ind w:left="0" w:right="0" w:hanging="0"/>
              <w:jc w:val="left"/>
              <w:rPr/>
            </w:pPr>
            <w:hyperlink w:anchor="oi">
              <w:r>
                <w:rPr>
                  <w:rStyle w:val="InternetLink"/>
                  <w:rFonts w:ascii="Times New Roman;Times;serif" w:hAnsi="Times New Roman;Times;serif"/>
                  <w:caps w:val="false"/>
                  <w:smallCaps w:val="false"/>
                  <w:sz w:val="20"/>
                  <w:u w:val="single"/>
                </w:rPr>
                <w:t>Other Information</w:t>
              </w:r>
            </w:hyperlink>
          </w:p>
        </w:tc>
        <w:tc>
          <w:tcPr>
            <w:tcW w:w="516" w:type="dxa"/>
            <w:tcBorders/>
            <w:vAlign w:val="center"/>
          </w:tcPr>
          <w:p>
            <w:pPr>
              <w:pStyle w:val="TableContents"/>
              <w:bidi w:val="0"/>
              <w:spacing w:before="0" w:after="0"/>
              <w:ind w:left="0" w:right="0" w:hanging="0"/>
              <w:jc w:val="right"/>
              <w:rPr/>
            </w:pPr>
            <w:hyperlink w:anchor="oi">
              <w:r>
                <w:rPr>
                  <w:rStyle w:val="InternetLink"/>
                  <w:rFonts w:ascii="Times New Roman;Times;serif" w:hAnsi="Times New Roman;Times;serif"/>
                  <w:caps w:val="false"/>
                  <w:smallCaps w:val="false"/>
                  <w:sz w:val="20"/>
                </w:rPr>
                <w:t>39</w:t>
              </w:r>
            </w:hyperlink>
          </w:p>
        </w:tc>
      </w:tr>
      <w:tr>
        <w:trPr/>
        <w:tc>
          <w:tcPr>
            <w:tcW w:w="7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942" w:type="dxa"/>
            <w:tcBorders/>
            <w:vAlign w:val="center"/>
          </w:tcPr>
          <w:p>
            <w:pPr>
              <w:pStyle w:val="TableContents"/>
              <w:bidi w:val="0"/>
              <w:spacing w:before="0" w:after="0"/>
              <w:ind w:left="0" w:right="0" w:hanging="0"/>
              <w:jc w:val="left"/>
              <w:rPr/>
            </w:pPr>
            <w:hyperlink w:anchor="exs">
              <w:r>
                <w:rPr>
                  <w:rStyle w:val="InternetLink"/>
                  <w:rFonts w:ascii="Times New Roman;Times;serif" w:hAnsi="Times New Roman;Times;serif"/>
                  <w:caps w:val="false"/>
                  <w:smallCaps w:val="false"/>
                  <w:sz w:val="20"/>
                  <w:u w:val="single"/>
                </w:rPr>
                <w:t>Exhibits</w:t>
              </w:r>
            </w:hyperlink>
          </w:p>
        </w:tc>
        <w:tc>
          <w:tcPr>
            <w:tcW w:w="51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39</w:t>
              </w:r>
            </w:hyperlink>
          </w:p>
        </w:tc>
      </w:tr>
      <w:tr>
        <w:trPr/>
        <w:tc>
          <w:tcPr>
            <w:tcW w:w="9689" w:type="dxa"/>
            <w:gridSpan w:val="2"/>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caps w:val="false"/>
                  <w:smallCaps w:val="false"/>
                  <w:sz w:val="20"/>
                  <w:u w:val="single"/>
                </w:rPr>
                <w:t>Signatures</w:t>
              </w:r>
            </w:hyperlink>
          </w:p>
        </w:tc>
        <w:tc>
          <w:tcPr>
            <w:tcW w:w="51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40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CAUTIONARY STATEMENT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contains forward-looking statements within the meaning of Section 21E of the Securities Exchange Act of 1934, as amended (the “Exchange Act”). Any statements about our expectations, beliefs, plans, objectives, assumptions, future events or performance are not historical facts and may be forward looking. These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10"/>
        <w:gridCol w:w="59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commercialization of NERLYNX® (neratinib) tablets (“NERLYNX”);</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sz w:val="20"/>
              </w:rPr>
            </w:pPr>
            <w:r>
              <w:rPr>
                <w:sz w:val="20"/>
              </w:rPr>
              <w:t>the development of our drug candidates, including when we expect to undertake, initiate and complete clinical trials of our drug candidates;</w:t>
            </w:r>
          </w:p>
        </w:tc>
      </w:tr>
    </w:tbl>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timing of regulatory filings;</w:t>
            </w:r>
          </w:p>
        </w:tc>
      </w:tr>
    </w:tbl>
    <w:p>
      <w:pPr>
        <w:pStyle w:val="TextBody"/>
        <w:bidi w:val="0"/>
        <w:spacing w:before="0" w:after="0"/>
        <w:ind w:left="0" w:right="0" w:hanging="0"/>
        <w:jc w:val="left"/>
        <w:rPr/>
      </w:pPr>
      <w:r>
        <w:rPr/>
        <w:t> </w:t>
      </w:r>
    </w:p>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approval of our drug candidates;</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use of clinical research organizations (“CRO”) and other contractors;</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60"/>
        <w:gridCol w:w="110"/>
        <w:gridCol w:w="91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find collaborative partners for research, development and commercialization of potential products;</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60"/>
        <w:gridCol w:w="110"/>
        <w:gridCol w:w="99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of our sub-licensees to obtain regulatory approval and commercialize NERLYNX in areas outside the United States;</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market any of our products;</w:t>
            </w:r>
          </w:p>
        </w:tc>
      </w:tr>
    </w:tbl>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60"/>
        <w:gridCol w:w="110"/>
        <w:gridCol w:w="41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regarding our costs and expenses;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anticipated capital requirements and estimates regarding our needs for additional financing;</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10"/>
        <w:gridCol w:w="59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compete against other companies and research institutions;</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secure adequate protection for our intellectual property;</w:t>
            </w:r>
          </w:p>
        </w:tc>
      </w:tr>
    </w:tbl>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intention and ability to vigorously defend against any litigation to which we are or may become party;</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in-license additional drugs;</w:t>
            </w:r>
          </w:p>
        </w:tc>
      </w:tr>
    </w:tbl>
    <w:p>
      <w:pPr>
        <w:pStyle w:val="TextBody"/>
        <w:bidi w:val="0"/>
        <w:spacing w:before="0" w:after="0"/>
        <w:ind w:left="0" w:right="0" w:hanging="0"/>
        <w:jc w:val="left"/>
        <w:rPr/>
      </w:pPr>
      <w:r>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key personnel; and</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financing on favorable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These statements are often, but not always, made through the use of words or phrases such as “anticipate,” “estimate,” “plan,” “project,” “continuing,” “ongoing,” “expect,” “believe,” “intend” and similar words or phrases. Accordingly, these statements involve estimates, assumptions and uncertainties that could cause actual results to differ materially from those expressed in them. Discussions containing these forward-looking statements may be found throughout this Quarterly Report, including, in Part I, the section entitled “Item 2. Management’s Discussion and Analysis of Financial Condition and Results of Operations.” These forward-looking statements involve risks and uncertainties, including the risks discussed in Part I, Item 1A. “Risk Factors” of our Annual Report on Form 10-K for the year ended December 31, 2024, and this Quarterly Report on Form 10-Q, that could cause our actual results to differ materially from those in the forward-looking statements. Such risks should be considered in evaluating our prospects and future financial performance. We undertake no obligation to update the forward-looking statements or to reflect events or circumstances after the date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1.</w:t>
            </w:r>
          </w:p>
        </w:tc>
        <w:tc>
          <w:tcPr>
            <w:tcW w:w="24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BALANCE SHEETS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9"/>
        <w:gridCol w:w="60"/>
        <w:gridCol w:w="154"/>
        <w:gridCol w:w="1117"/>
        <w:gridCol w:w="80"/>
        <w:gridCol w:w="60"/>
        <w:gridCol w:w="152"/>
        <w:gridCol w:w="1102"/>
        <w:gridCol w:w="81"/>
      </w:tblGrid>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69,219</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31,746</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 of $0 and $362</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32,011</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8,724</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current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147,658</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4,579</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51,131</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long-term</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7,075</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long-term</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213,333</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36,898</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5,540</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45,329</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current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96,111</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long-term</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 long-term</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21,719</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long-term</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121,208</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$.0001 par value per share; 100,000,000 shares authorized; 50,384,274 shares issued and outstanding at September 30, 2025 and 49,105,834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1,407,000</w:t>
            </w:r>
          </w:p>
        </w:tc>
        <w:tc>
          <w:tcPr>
            <w:tcW w:w="81"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(1,314,886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92,125</w:t>
            </w:r>
          </w:p>
        </w:tc>
        <w:tc>
          <w:tcPr>
            <w:tcW w:w="81"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213,333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4" w:name="income"/>
      <w:bookmarkEnd w:id="4"/>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and per share data)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2"/>
        <w:gridCol w:w="60"/>
        <w:gridCol w:w="168"/>
        <w:gridCol w:w="1285"/>
        <w:gridCol w:w="107"/>
        <w:gridCol w:w="81"/>
        <w:gridCol w:w="168"/>
        <w:gridCol w:w="1285"/>
        <w:gridCol w:w="80"/>
        <w:gridCol w:w="60"/>
        <w:gridCol w:w="165"/>
        <w:gridCol w:w="1263"/>
        <w:gridCol w:w="105"/>
        <w:gridCol w:w="79"/>
        <w:gridCol w:w="165"/>
        <w:gridCol w:w="1263"/>
        <w:gridCol w:w="89"/>
      </w:tblGrid>
      <w:tr>
        <w:trPr/>
        <w:tc>
          <w:tcPr>
            <w:tcW w:w="3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4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51,902</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144,194</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140,810</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8,724</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30,581</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54,475</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152,918</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171,391</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12,173</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50,483</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16,817</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52,468</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63,541</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15,912</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45,227</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39,766</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44,902</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132,725</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153,790</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9,573</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17,601</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37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3,498</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12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expenses, net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(5,739</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9,243</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18,675</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11,862</w:t>
            </w:r>
          </w:p>
        </w:tc>
        <w:tc>
          <w:tcPr>
            <w:tcW w:w="89" w:type="dxa"/>
            <w:tcBorders/>
            <w:shd w:fill="FFFFFF" w:val="clear"/>
            <w:vAlign w:val="center"/>
          </w:tcPr>
          <w:p>
            <w:pPr>
              <w:pStyle w:val="TableContents"/>
              <w:bidi w:val="0"/>
              <w:spacing w:before="0" w:after="283"/>
              <w:jc w:val="left"/>
              <w:rPr/>
            </w:pPr>
            <w:r>
              <w:rPr/>
              <w:t> </w:t>
            </w:r>
          </w:p>
        </w:tc>
      </w:tr>
      <w:tr>
        <w:trPr/>
        <w:tc>
          <w:tcPr>
            <w:tcW w:w="37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of common stock—basic</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0.18</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w:t>
            </w:r>
          </w:p>
        </w:tc>
        <w:tc>
          <w:tcPr>
            <w:tcW w:w="89" w:type="dxa"/>
            <w:tcBorders/>
            <w:shd w:fill="CCEEFF" w:val="clear"/>
            <w:vAlign w:val="center"/>
          </w:tcPr>
          <w:p>
            <w:pPr>
              <w:pStyle w:val="TableContents"/>
              <w:bidi w:val="0"/>
              <w:spacing w:before="0" w:after="283"/>
              <w:ind w:left="0" w:right="0" w:hanging="0"/>
              <w:jc w:val="left"/>
              <w:rPr/>
            </w:pPr>
            <w:r>
              <w:rPr/>
              <w:t> </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of common stock—diluted</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w:t>
            </w:r>
          </w:p>
        </w:tc>
        <w:tc>
          <w:tcPr>
            <w:tcW w:w="89" w:type="dxa"/>
            <w:tcBorders/>
            <w:shd w:fill="FFFFFF" w:val="clear"/>
            <w:vAlign w:val="center"/>
          </w:tcPr>
          <w:p>
            <w:pPr>
              <w:pStyle w:val="TableContents"/>
              <w:bidi w:val="0"/>
              <w:spacing w:before="0" w:after="283"/>
              <w:ind w:left="0" w:right="0" w:hanging="0"/>
              <w:jc w:val="left"/>
              <w:rPr/>
            </w:pPr>
            <w:r>
              <w:rPr/>
              <w:t> </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50,339,456</w:t>
            </w:r>
          </w:p>
        </w:tc>
        <w:tc>
          <w:tcPr>
            <w:tcW w:w="10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49,008,464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49,881,181</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48,498,579</w:t>
            </w:r>
          </w:p>
        </w:tc>
        <w:tc>
          <w:tcPr>
            <w:tcW w:w="89" w:type="dxa"/>
            <w:tcBorders/>
            <w:shd w:fill="CCEEFF" w:val="clear"/>
            <w:vAlign w:val="center"/>
          </w:tcPr>
          <w:p>
            <w:pPr>
              <w:pStyle w:val="TableContents"/>
              <w:bidi w:val="0"/>
              <w:spacing w:before="0" w:after="283"/>
              <w:ind w:left="0" w:right="0" w:hanging="0"/>
              <w:jc w:val="left"/>
              <w:rPr/>
            </w:pPr>
            <w:r>
              <w:rPr/>
              <w:t> </w:t>
            </w:r>
          </w:p>
        </w:tc>
      </w:tr>
      <w:tr>
        <w:trPr/>
        <w:tc>
          <w:tcPr>
            <w:tcW w:w="378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outstanding—diluted</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50,929,893</w:t>
            </w:r>
          </w:p>
        </w:tc>
        <w:tc>
          <w:tcPr>
            <w:tcW w:w="10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49,173,361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50,334,553</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49,025,103</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5" w:name="compinc"/>
      <w:bookmarkEnd w:id="5"/>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9"/>
        <w:gridCol w:w="60"/>
        <w:gridCol w:w="257"/>
        <w:gridCol w:w="1000"/>
        <w:gridCol w:w="123"/>
        <w:gridCol w:w="123"/>
        <w:gridCol w:w="257"/>
        <w:gridCol w:w="1217"/>
        <w:gridCol w:w="60"/>
        <w:gridCol w:w="60"/>
        <w:gridCol w:w="237"/>
        <w:gridCol w:w="1122"/>
        <w:gridCol w:w="114"/>
        <w:gridCol w:w="114"/>
        <w:gridCol w:w="237"/>
        <w:gridCol w:w="1122"/>
        <w:gridCol w:w="63"/>
      </w:tblGrid>
      <w:tr>
        <w:trPr/>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3" w:type="dxa"/>
            <w:tcBorders/>
            <w:shd w:fill="FFFFFF" w:val="clear"/>
            <w:vAlign w:val="center"/>
          </w:tcPr>
          <w:p>
            <w:pPr>
              <w:pStyle w:val="TableContents"/>
              <w:bidi w:val="0"/>
              <w:spacing w:before="0" w:after="283"/>
              <w:jc w:val="left"/>
              <w:rPr/>
            </w:pPr>
            <w:r>
              <w:rPr/>
              <w:t> </w:t>
            </w:r>
          </w:p>
        </w:tc>
      </w:tr>
      <w:tr>
        <w:trPr/>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3" w:type="dxa"/>
            <w:tcBorders/>
            <w:shd w:fill="FFFFFF" w:val="clear"/>
            <w:vAlign w:val="center"/>
          </w:tcPr>
          <w:p>
            <w:pPr>
              <w:pStyle w:val="TableContents"/>
              <w:bidi w:val="0"/>
              <w:spacing w:before="0" w:after="283"/>
              <w:jc w:val="left"/>
              <w:rPr/>
            </w:pPr>
            <w:r>
              <w:rPr/>
              <w:t> </w:t>
            </w:r>
          </w:p>
        </w:tc>
      </w:tr>
      <w:tr>
        <w:trPr/>
        <w:tc>
          <w:tcPr>
            <w:tcW w:w="403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63" w:type="dxa"/>
            <w:tcBorders/>
            <w:shd w:fill="CCEEFF" w:val="clear"/>
            <w:vAlign w:val="center"/>
          </w:tcPr>
          <w:p>
            <w:pPr>
              <w:pStyle w:val="TableContents"/>
              <w:bidi w:val="0"/>
              <w:spacing w:before="0" w:after="283"/>
              <w:jc w:val="left"/>
              <w:rPr/>
            </w:pPr>
            <w:r>
              <w:rPr/>
              <w:t> </w:t>
            </w:r>
          </w:p>
        </w:tc>
      </w:tr>
      <w:tr>
        <w:trPr/>
        <w:tc>
          <w:tcPr>
            <w:tcW w:w="403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403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available-for-sale securities, net of tax of $0</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3" w:type="dxa"/>
            <w:tcBorders/>
            <w:shd w:fill="CCEEFF" w:val="clear"/>
            <w:vAlign w:val="center"/>
          </w:tcPr>
          <w:p>
            <w:pPr>
              <w:pStyle w:val="TableContents"/>
              <w:bidi w:val="0"/>
              <w:spacing w:before="0" w:after="283"/>
              <w:jc w:val="left"/>
              <w:rPr/>
            </w:pPr>
            <w:r>
              <w:rPr/>
              <w:t> </w:t>
            </w:r>
          </w:p>
        </w:tc>
      </w:tr>
      <w:tr>
        <w:trPr/>
        <w:tc>
          <w:tcPr>
            <w:tcW w:w="403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8,877</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17,686</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11,003</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data)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5"/>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695"/>
        <w:gridCol w:w="60"/>
      </w:tblGrid>
      <w:tr>
        <w:trPr/>
        <w:tc>
          <w:tcPr>
            <w:tcW w:w="6515" w:type="dxa"/>
            <w:gridSpan w:val="12"/>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For the Three Months Ended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49,892,725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(1,306,057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104,718</w:t>
            </w:r>
          </w:p>
        </w:tc>
        <w:tc>
          <w:tcPr>
            <w:tcW w:w="60" w:type="dxa"/>
            <w:tcBorders/>
            <w:shd w:fill="CCEE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1,673</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283"/>
              <w:jc w:val="left"/>
              <w:rPr/>
            </w:pPr>
            <w:r>
              <w:rPr/>
              <w:t> </w:t>
            </w:r>
          </w:p>
        </w:tc>
      </w:tr>
      <w:tr>
        <w:trPr/>
        <w:tc>
          <w:tcPr>
            <w:tcW w:w="3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w:t>
            </w:r>
          </w:p>
        </w:tc>
        <w:tc>
          <w:tcPr>
            <w:tcW w:w="60" w:type="dxa"/>
            <w:tcBorders/>
            <w:shd w:fill="CCEEFF" w:val="clear"/>
            <w:vAlign w:val="center"/>
          </w:tcPr>
          <w:p>
            <w:pPr>
              <w:pStyle w:val="TableContents"/>
              <w:bidi w:val="0"/>
              <w:spacing w:before="0" w:after="283"/>
              <w:jc w:val="left"/>
              <w:rPr/>
            </w:pPr>
            <w:r>
              <w:rPr/>
              <w:t> </w:t>
            </w:r>
          </w:p>
        </w:tc>
      </w:tr>
      <w:tr>
        <w:trPr/>
        <w:tc>
          <w:tcPr>
            <w:tcW w:w="3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50,384,274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(1,297,213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0"/>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590"/>
        <w:gridCol w:w="60"/>
      </w:tblGrid>
      <w:tr>
        <w:trPr/>
        <w:tc>
          <w:tcPr>
            <w:tcW w:w="8035" w:type="dxa"/>
            <w:gridSpan w:val="16"/>
            <w:tcBorders/>
            <w:shd w:fill="FFFFFF" w:val="clear"/>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For the Three Months Ended 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48,460,120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1,403,044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(1,354,508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48,509</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2,054</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20,317</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49,067,348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(1,334,191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71,088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share data)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5"/>
        <w:gridCol w:w="60"/>
        <w:gridCol w:w="60"/>
        <w:gridCol w:w="950"/>
        <w:gridCol w:w="60"/>
        <w:gridCol w:w="60"/>
        <w:gridCol w:w="220"/>
        <w:gridCol w:w="460"/>
        <w:gridCol w:w="60"/>
        <w:gridCol w:w="60"/>
        <w:gridCol w:w="125"/>
        <w:gridCol w:w="845"/>
        <w:gridCol w:w="60"/>
        <w:gridCol w:w="60"/>
        <w:gridCol w:w="420"/>
        <w:gridCol w:w="875"/>
        <w:gridCol w:w="60"/>
        <w:gridCol w:w="60"/>
        <w:gridCol w:w="135"/>
        <w:gridCol w:w="980"/>
        <w:gridCol w:w="80"/>
        <w:gridCol w:w="60"/>
        <w:gridCol w:w="125"/>
        <w:gridCol w:w="695"/>
        <w:gridCol w:w="60"/>
      </w:tblGrid>
      <w:tr>
        <w:trPr/>
        <w:tc>
          <w:tcPr>
            <w:tcW w:w="10145" w:type="dxa"/>
            <w:gridSpan w:val="2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For the Nine Months Ended September 30, 2025</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(1,314,886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92,125</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6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50,384,274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(1,297,213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0"/>
        <w:gridCol w:w="60"/>
        <w:gridCol w:w="60"/>
        <w:gridCol w:w="950"/>
        <w:gridCol w:w="60"/>
        <w:gridCol w:w="60"/>
        <w:gridCol w:w="220"/>
        <w:gridCol w:w="460"/>
        <w:gridCol w:w="60"/>
        <w:gridCol w:w="60"/>
        <w:gridCol w:w="125"/>
        <w:gridCol w:w="845"/>
        <w:gridCol w:w="60"/>
        <w:gridCol w:w="60"/>
        <w:gridCol w:w="420"/>
        <w:gridCol w:w="875"/>
        <w:gridCol w:w="80"/>
        <w:gridCol w:w="60"/>
        <w:gridCol w:w="135"/>
        <w:gridCol w:w="980"/>
        <w:gridCol w:w="80"/>
        <w:gridCol w:w="60"/>
        <w:gridCol w:w="125"/>
        <w:gridCol w:w="590"/>
        <w:gridCol w:w="60"/>
      </w:tblGrid>
      <w:tr>
        <w:trPr/>
        <w:tc>
          <w:tcPr>
            <w:tcW w:w="10145" w:type="dxa"/>
            <w:gridSpan w:val="2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For the Nine Months Ended September 30, 2024</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47,646,787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53,442</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available-for-sale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60" w:type="dxa"/>
            <w:tcBorders/>
            <w:shd w:fill="CCEEFF" w:val="clear"/>
            <w:vAlign w:val="center"/>
          </w:tcPr>
          <w:p>
            <w:pPr>
              <w:pStyle w:val="TableContents"/>
              <w:bidi w:val="0"/>
              <w:spacing w:before="0" w:after="283"/>
              <w:jc w:val="left"/>
              <w:rPr/>
            </w:pPr>
            <w:r>
              <w:rPr/>
              <w:t> </w:t>
            </w:r>
          </w:p>
        </w:tc>
      </w:tr>
      <w:tr>
        <w:trPr/>
        <w:tc>
          <w:tcPr>
            <w:tcW w:w="3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49,067,348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71,088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f"/>
      <w:bookmarkEnd w:id="7"/>
      <w:r>
        <w:rPr>
          <w:rFonts w:ascii="Times New Roman;Times;serif" w:hAnsi="Times New Roman;Times;serif"/>
          <w:b/>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8"/>
        <w:gridCol w:w="60"/>
        <w:gridCol w:w="260"/>
        <w:gridCol w:w="1353"/>
        <w:gridCol w:w="165"/>
        <w:gridCol w:w="124"/>
        <w:gridCol w:w="260"/>
        <w:gridCol w:w="1353"/>
        <w:gridCol w:w="82"/>
      </w:tblGrid>
      <w:tr>
        <w:trPr/>
        <w:tc>
          <w:tcPr>
            <w:tcW w:w="65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5"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For the Nine Months Ended September 30,</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16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17,673</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10,973</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8,281</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8,683</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5,327</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6,493</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(362</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Disposal of property and equipment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4,407</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assets and liabilities, net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(1,266</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(1,164</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Post-marketing commitment liability</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(1,740</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27,383</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23,311</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available-for-sale securities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(61,204</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(60,956</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Maturity of available-for-sale securities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52,100</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42,878</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(9,211</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(18,118</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proceeds from shares issued under employee stock plans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Payment of debt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(33,330</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(22,220</w:t>
            </w:r>
          </w:p>
        </w:tc>
        <w:tc>
          <w:tcPr>
            <w:tcW w:w="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exit costs</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(666</w:t>
            </w:r>
          </w:p>
        </w:tc>
        <w:tc>
          <w:tcPr>
            <w:tcW w:w="1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(445</w:t>
            </w:r>
          </w:p>
        </w:tc>
        <w:tc>
          <w:tcPr>
            <w:tcW w:w="8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(33,866</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(22,515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(15,694</w:t>
            </w:r>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(17,322</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71,310</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86,676</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55,616</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69,354</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purchases in accounts payable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CCEEFF" w:val="clear"/>
            <w:vAlign w:val="center"/>
          </w:tcPr>
          <w:p>
            <w:pPr>
              <w:pStyle w:val="TableContents"/>
              <w:bidi w:val="0"/>
              <w:spacing w:before="0" w:after="283"/>
              <w:jc w:val="right"/>
              <w:rPr/>
            </w:pPr>
            <w:r>
              <w:rPr/>
              <w:t>—</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54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paid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4,838</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8,483</w:t>
            </w:r>
          </w:p>
        </w:tc>
        <w:tc>
          <w:tcPr>
            <w:tcW w:w="82" w:type="dxa"/>
            <w:tcBorders/>
            <w:shd w:fill="CCEEFF"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taxes paid</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1,277</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PUMA BIOTECHNOLOGY, INC. AND SUBSIDIARY</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NOTES TO THE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caps w:val="false"/>
          <w:smallCaps w:val="false"/>
          <w:sz w:val="20"/>
        </w:rPr>
        <w:t>—</w:t>
      </w:r>
      <w:r>
        <w:rPr>
          <w:rFonts w:ascii="Times New Roman" w:hAnsi="Times New Roman"/>
          <w:b/>
          <w:caps w:val="false"/>
          <w:smallCaps w:val="false"/>
          <w:sz w:val="20"/>
        </w:rPr>
        <w:t xml:space="preserve">Business and 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Business and Liquidity: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Puma Biotechnology, Inc., (the “Company”) is a biopharmaceutical company based in Los Angeles, California that develops and commercializes innovative products to enhance cancer care and improve treatment outcomes for patients. The Company is currently commercializing NERLYNX®, an oral version of neratinib (“NERLYNX”), for the treatment of </w:t>
      </w:r>
      <w:r>
        <w:rPr>
          <w:rStyle w:val="Emphasis"/>
          <w:rFonts w:ascii="Times New Roman" w:hAnsi="Times New Roman"/>
          <w:caps w:val="false"/>
          <w:smallCaps w:val="false"/>
          <w:sz w:val="20"/>
        </w:rPr>
        <w:t>HER2</w:t>
      </w:r>
      <w:r>
        <w:rPr>
          <w:rFonts w:ascii="Times New Roman" w:hAnsi="Times New Roman"/>
          <w:caps w:val="false"/>
          <w:smallCaps w:val="false"/>
          <w:sz w:val="20"/>
        </w:rPr>
        <w:t>-positive breast cancer. Additionally, the Company in-licensed, and is responsible for the global development and commercialization of, alisertib. Alisertib is a selective, small molecule inhibitor of Aurora Kinase A that is designed to disrupt mitosis leading to apoptosis of rapidly proliferating tumor cells dependent on Aurora Kinase. The Company believes alisertib has potential application in the treatment of a range of different cancer types, including hormone receptor-positive breast cancer, triple-negative breast cancer and small cell lung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one subsidiary, Puma Biotechnology, B.V., a Netherlands company. This subsidiary was established for the purpose of legal representation in the European Union (“EU”). The condensed consolidated financial statements include the accounts of the Company and its wholly owned subsidiary. All intercompany accounts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has incurred significant operating losses since its inception. While the Company has previously reported net income, we cannot assure that we will continue to do so and will need to continue to generate significant revenue to sustain operations and successfully commercialize neratinib. In </w:t>
      </w:r>
      <w:r>
        <w:rPr>
          <w:rStyle w:val="Emphasis"/>
          <w:rFonts w:ascii="Times New Roman" w:hAnsi="Times New Roman"/>
          <w:caps w:val="false"/>
          <w:smallCaps w:val="false"/>
          <w:sz w:val="20"/>
        </w:rPr>
        <w:t>2017</w:t>
      </w:r>
      <w:r>
        <w:rPr>
          <w:rFonts w:ascii="Times New Roman" w:hAnsi="Times New Roman"/>
          <w:i/>
          <w:caps w:val="false"/>
          <w:smallCaps w:val="false"/>
          <w:sz w:val="20"/>
        </w:rPr>
        <w:t>,</w:t>
      </w:r>
      <w:r>
        <w:rPr>
          <w:rFonts w:ascii="Times New Roman" w:hAnsi="Times New Roman"/>
          <w:caps w:val="false"/>
          <w:smallCaps w:val="false"/>
          <w:sz w:val="20"/>
        </w:rPr>
        <w:t> the Company received U.S. Food and Drug Administration (“FDA”) approval for its </w:t>
      </w:r>
      <w:r>
        <w:rPr>
          <w:rStyle w:val="Emphasis"/>
          <w:rFonts w:ascii="Times New Roman" w:hAnsi="Times New Roman"/>
          <w:caps w:val="false"/>
          <w:smallCaps w:val="false"/>
          <w:sz w:val="20"/>
        </w:rPr>
        <w:t>first</w:t>
      </w:r>
      <w:r>
        <w:rPr>
          <w:rFonts w:ascii="Times New Roman" w:hAnsi="Times New Roman"/>
          <w:caps w:val="false"/>
          <w:smallCaps w:val="false"/>
          <w:sz w:val="20"/>
        </w:rPr>
        <w:t> product, NERLYNX® (neratinib), formerly known as </w:t>
      </w:r>
      <w:r>
        <w:rPr>
          <w:rStyle w:val="Emphasis"/>
          <w:rFonts w:ascii="Times New Roman" w:hAnsi="Times New Roman"/>
          <w:caps w:val="false"/>
          <w:smallCaps w:val="false"/>
          <w:sz w:val="20"/>
        </w:rPr>
        <w:t>PB272</w:t>
      </w:r>
      <w:r>
        <w:rPr>
          <w:rFonts w:ascii="Times New Roman" w:hAnsi="Times New Roman"/>
          <w:caps w:val="false"/>
          <w:smallCaps w:val="false"/>
          <w:sz w:val="20"/>
        </w:rPr>
        <w:t> (neratinib, oral), for the extended adjuvant treatment of adult patients with early stage </w:t>
      </w:r>
      <w:r>
        <w:rPr>
          <w:rStyle w:val="Emphasis"/>
          <w:rFonts w:ascii="Times New Roman" w:hAnsi="Times New Roman"/>
          <w:caps w:val="false"/>
          <w:smallCaps w:val="false"/>
          <w:sz w:val="20"/>
        </w:rPr>
        <w:t>HER2</w:t>
      </w:r>
      <w:r>
        <w:rPr>
          <w:rFonts w:ascii="Times New Roman" w:hAnsi="Times New Roman"/>
          <w:caps w:val="false"/>
          <w:smallCaps w:val="false"/>
          <w:sz w:val="20"/>
        </w:rPr>
        <w:t>-overexpressed/amplified breast cancer following adjuvant trastuzumab-based therapy. Following FDA approval in </w:t>
      </w:r>
      <w:r>
        <w:rPr>
          <w:rStyle w:val="Emphasis"/>
          <w:rFonts w:ascii="Times New Roman" w:hAnsi="Times New Roman"/>
          <w:caps w:val="false"/>
          <w:smallCaps w:val="false"/>
          <w:sz w:val="20"/>
        </w:rPr>
        <w:t xml:space="preserve"> July 2017</w:t>
      </w:r>
      <w:r>
        <w:rPr>
          <w:rFonts w:ascii="Times New Roman" w:hAnsi="Times New Roman"/>
          <w:i/>
          <w:caps w:val="false"/>
          <w:smallCaps w:val="false"/>
          <w:sz w:val="20"/>
        </w:rPr>
        <w:t>,</w:t>
      </w:r>
      <w:r>
        <w:rPr>
          <w:rFonts w:ascii="Times New Roman" w:hAnsi="Times New Roman"/>
          <w:caps w:val="false"/>
          <w:smallCaps w:val="false"/>
          <w:sz w:val="20"/>
        </w:rPr>
        <w:t> NERLYNX became available by prescription in the United States, and the Company commenced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NERLYNX was also approved by the FDA in combination with capecitabine for the treatment of adult patients with advanced or metastatic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-positive breast cancer who have received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or more prior anti-</w:t>
      </w:r>
      <w:r>
        <w:rPr>
          <w:rStyle w:val="Emphasis"/>
          <w:rFonts w:ascii="Times New Roman" w:hAnsi="Times New Roman"/>
          <w:caps w:val="false"/>
          <w:smallCaps w:val="false"/>
          <w:sz w:val="20"/>
        </w:rPr>
        <w:t>HER2</w:t>
      </w:r>
      <w:r>
        <w:rPr>
          <w:rFonts w:ascii="Times New Roman" w:hAnsi="Times New Roman"/>
          <w:caps w:val="false"/>
          <w:smallCaps w:val="false"/>
          <w:sz w:val="20"/>
        </w:rPr>
        <w:t>-based regimens in the metastatic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European Commission (“EC”) granted marketing authorization for NERLYNX in the EU for the extended adjuvant treatment of adult patients with early stage hormone receptor positive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and who are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completion of prior adjuvant trastuzumab-based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 is required to make substantial payments to Pfizer upon the achievement of certain milestones and has contractual obligations for clinical trial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entered into other exclusive sub-license agreements with various parties to pursue regulatory approval, if necessary, and commercialize NERLYNX, if approved, in many regions outside the United States, including Europe, Australia, Canada, China, Southeast Asia, Israel, South Korea, Russia and various countries and territories in Central America, South America, Africa and the Middle East. The Company plans to continue to pursue commercialization of NERLYNX in other countries outside the United States, if approved.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a subsidiary of Takeda Pharmaceutical Company Limited (“Takeda”) to license the worldwide research and development and commercial rights to alisertib, a selective, small-molecule, orally administered inhibitor of Aurora Kinase A. Alisertib is an adenosine triphosphate–competitive and reversible inhibitor of Aurora Kinase A and results in disruption of mitosis, leading to apoptosis of rapidly proliferating tumor cells that are dependent on Aurora Kinase A. Alisertib has been tested in clinical trials in patients with metastatic cancers, including breast cancer, small cell lung cancer, head and neck cancer, ovarian cancer, peripheral T cell lymphoma and acute myeloid leukemia. Under the terms of the exclusive license agreement, the Company assumed sole responsibility for the global development and commercialization of alisertib. The Company paid Takeda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and Takeda is eligible to receive potential future milestone payments of up to $287.3 million upon the Company’s achievement of certain regulatory and commercial milestones over the course of the exclusive license agreement, as well as tiered royalty payments for any net sales of alisertib.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had been accrued as the underlying contingencies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or estimable.</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has reported net income of approximately</w:t>
      </w:r>
      <w:r>
        <w:rPr>
          <w:rFonts w:ascii="Times New Roman" w:hAnsi="Times New Roman"/>
          <w:caps w:val="false"/>
          <w:smallCaps w:val="false"/>
          <w:sz w:val="20"/>
          <w:shd w:fill="FFFFFF" w:val="clear"/>
        </w:rPr>
        <w:t> $17.7 million and</w:t>
      </w:r>
      <w:r>
        <w:rPr>
          <w:rFonts w:ascii="Times New Roman" w:hAnsi="Times New Roman"/>
          <w:caps w:val="false"/>
          <w:smallCaps w:val="false"/>
          <w:sz w:val="20"/>
        </w:rPr>
        <w:t> cash provided by operations of approximately $27.4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Company’s commercialization, research and development or marketing efforts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funding in addition to the cash and cash equivalents and marketable securities totaling approximately $94.4 million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believes that its existing cash and cash equivalents and marketable securities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proceeds that will become available to the Company through product sales and sub-license payments are sufficient to satisfy its operating cash needs, including amounts due under the Company’s Note Purchase Agreement with Athyrium Opportunities IV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(“Athyrium”) (see Note </w:t>
      </w:r>
      <w:r>
        <w:rPr>
          <w:rStyle w:val="Emphasis"/>
          <w:rFonts w:ascii="Times New Roman" w:hAnsi="Times New Roman"/>
          <w:caps w:val="false"/>
          <w:smallCaps w:val="false"/>
          <w:sz w:val="20"/>
        </w:rPr>
        <w:t>9—Debt</w:t>
      </w:r>
      <w:r>
        <w:rPr>
          <w:rFonts w:ascii="Times New Roman" w:hAnsi="Times New Roman"/>
          <w:caps w:val="false"/>
          <w:smallCaps w:val="false"/>
          <w:sz w:val="20"/>
        </w:rPr>
        <w:t>),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year after the filing of the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in which these financial statements are included. The Company continues to remain dependent, in part, on its ability to obtain sufficient funding to sustain operations and continue to successfully commercialize neratinib in the United States. While the Company has been successful in raising capital in the past,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assurance that it will be able to do so in the future. The Company’s ability to obtain funding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adversely impacted by uncertain market and economic condition</w:t>
      </w:r>
      <w:r>
        <w:rPr>
          <w:rFonts w:ascii="Times New Roman" w:hAnsi="Times New Roman"/>
          <w:caps w:val="false"/>
          <w:smallCaps w:val="false"/>
          <w:sz w:val="20"/>
          <w:shd w:fill="FFFFFF" w:val="clear"/>
        </w:rPr>
        <w:t>s, including th</w:t>
      </w:r>
      <w:r>
        <w:rPr>
          <w:rFonts w:ascii="Times New Roman" w:hAnsi="Times New Roman"/>
          <w:caps w:val="false"/>
          <w:smallCaps w:val="false"/>
          <w:sz w:val="20"/>
        </w:rPr>
        <w:t>e Company’s success in commercializing neratinib and unfavorable decisions of regulatory authorities or adverse clinical trial results. The outcome of these matters cannot be predicted at this time. Additionally, the terms of the Company’s Note Purchase Agreement place restrictions on the Company’s ability to operate the business and on the Company’s financial flexibility, and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unable to achieve the revenue necessary to satisfy the minimum revenue and cash balance covenants as specified in the agreement.</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Since its inception through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the Company’s financing has primarily consisted of proceeds from product, royalty and license revenue, public offerings of its common stock, private equity placements, and various debt instruments.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In the opinion of management, the included disclosures are adequate, and the accompanying unaudited condensed consolidated financial statements contain all adjustments necessary for a fair statement of our consolidated financial position as of </w:t>
      </w:r>
      <w:r>
        <w:rPr>
          <w:rStyle w:val="Emphasis"/>
          <w:rFonts w:ascii="Times New Roman" w:hAnsi="Times New Roman"/>
          <w:caps w:val="false"/>
          <w:smallCaps w:val="false"/>
          <w:sz w:val="20"/>
          <w:shd w:fill="FFFFFF" w:val="clear"/>
        </w:rPr>
        <w:t xml:space="preserve"> September 30, 2025</w:t>
      </w:r>
      <w:r>
        <w:rPr>
          <w:rFonts w:ascii="Times New Roman" w:hAnsi="Times New Roman"/>
          <w:caps w:val="false"/>
          <w:smallCaps w:val="false"/>
          <w:sz w:val="20"/>
          <w:shd w:fill="FFFFFF" w:val="clear"/>
        </w:rPr>
        <w:t xml:space="preserve">. Such adjustments are of a normal and recurring nature. The condensed consolidated balance sheet as of </w:t>
      </w:r>
      <w:r>
        <w:rPr>
          <w:rStyle w:val="Emphasis"/>
          <w:rFonts w:ascii="Times New Roman" w:hAnsi="Times New Roman"/>
          <w:caps w:val="false"/>
          <w:smallCaps w:val="false"/>
          <w:sz w:val="20"/>
        </w:rPr>
        <w:t>December 31, 2024</w:t>
      </w:r>
      <w:r>
        <w:rPr>
          <w:rFonts w:ascii="Times New Roman" w:hAnsi="Times New Roman"/>
          <w:caps w:val="false"/>
          <w:smallCaps w:val="false"/>
          <w:sz w:val="20"/>
          <w:shd w:fill="FFFFFF" w:val="clear"/>
        </w:rPr>
        <w:t xml:space="preserve"> was derived from audited annual financial statements but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contain all of the footnote disclosures from the audited annual financial statements. The condensed consolidated results of operations for the quarter ended </w:t>
      </w:r>
      <w:r>
        <w:rPr>
          <w:rStyle w:val="Emphasis"/>
          <w:rFonts w:ascii="Times New Roman" w:hAnsi="Times New Roman"/>
          <w:caps w:val="false"/>
          <w:smallCaps w:val="false"/>
          <w:sz w:val="20"/>
          <w:shd w:fill="FFFFFF" w:val="clear"/>
        </w:rPr>
        <w:t>September 30, 2025</w:t>
      </w:r>
      <w:r>
        <w:rPr>
          <w:rFonts w:ascii="Times New Roman" w:hAnsi="Times New Roman"/>
          <w:caps w:val="false"/>
          <w:smallCaps w:val="false"/>
          <w:sz w:val="20"/>
          <w:shd w:fill="FFFFFF" w:val="clear"/>
        </w:rPr>
        <w:t xml:space="preserve">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necessarily indicative of the consolidated results of operations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expected for the fiscal year ending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shd w:fill="FFFFFF" w:val="clear"/>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w:t>
      </w:r>
      <w:r>
        <w:rPr>
          <w:rFonts w:ascii="Times New Roman" w:hAnsi="Times New Roman"/>
          <w:b/>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significant accounting policies followed in the preparation of these unaudited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subsidiary. All intercompany balances and transactions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Management has determined that the Company operates in one reporting segment, which is the development and commercialization of innovative products to enhance cancer care. The Company derives our global product, license and royalty revenue through the sales of NERLYNX®. The majority of our roya</w:t>
      </w:r>
      <w:r>
        <w:rPr>
          <w:rFonts w:ascii="Times New Roman" w:hAnsi="Times New Roman"/>
          <w:caps w:val="false"/>
          <w:smallCaps w:val="false"/>
          <w:sz w:val="20"/>
          <w:shd w:fill="FFFFFF" w:val="clear"/>
        </w:rPr>
        <w:t>lty revenue is derived from our sub-licensee sales into China. </w:t>
      </w:r>
      <w:r>
        <w:rPr>
          <w:rFonts w:ascii="Times New Roman" w:hAnsi="Times New Roman"/>
          <w:caps w:val="false"/>
          <w:smallCaps w:val="false"/>
          <w:sz w:val="20"/>
        </w:rPr>
        <w:t xml:space="preserve">The accounting policies of this operating segment are the same as those described below in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Chief Operating Decision Maker (“CODM”) is our President, Chief Executive Officer and Chairman of the Board, Alan H. Auerbach. The CODM primarily uses our Consolidated Statement of Operations and related revenues, expenses and net income (loss) in evaluating the performance of the single operating segment and determining how to allocate resources of the Company as a whole, including our sales force and related marketing, research and development programs, including alisertib, and licensing strategy. Consolidated revenue, expenses and net income are also used to monitor budget versus actual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In addition to the significant expense categories included within consolidated n</w:t>
      </w:r>
      <w:r>
        <w:rPr>
          <w:rFonts w:ascii="Times New Roman" w:hAnsi="Times New Roman"/>
          <w:caps w:val="false"/>
          <w:smallCaps w:val="false"/>
          <w:sz w:val="20"/>
        </w:rPr>
        <w:t>et income presented on the Company's Condensed Consolidated Statements of Operations, see below for disaggregated amounts that comprise operating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2"/>
        <w:gridCol w:w="60"/>
        <w:gridCol w:w="289"/>
        <w:gridCol w:w="1366"/>
        <w:gridCol w:w="138"/>
        <w:gridCol w:w="138"/>
        <w:gridCol w:w="289"/>
        <w:gridCol w:w="1366"/>
        <w:gridCol w:w="60"/>
        <w:gridCol w:w="60"/>
        <w:gridCol w:w="248"/>
        <w:gridCol w:w="1384"/>
        <w:gridCol w:w="118"/>
        <w:gridCol w:w="118"/>
        <w:gridCol w:w="248"/>
        <w:gridCol w:w="1384"/>
        <w:gridCol w:w="67"/>
      </w:tblGrid>
      <w:tr>
        <w:trPr/>
        <w:tc>
          <w:tcPr>
            <w:tcW w:w="2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6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12,173</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50,483</w:t>
            </w:r>
          </w:p>
        </w:tc>
        <w:tc>
          <w:tcPr>
            <w:tcW w:w="67" w:type="dxa"/>
            <w:tcBorders/>
            <w:shd w:fill="CCEE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6,142</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18,860</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30,074</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Commercialization</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9,623</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29,139</w:t>
            </w:r>
          </w:p>
        </w:tc>
        <w:tc>
          <w:tcPr>
            <w:tcW w:w="67" w:type="dxa"/>
            <w:tcBorders/>
            <w:shd w:fill="CCEE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research and development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7,789</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3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16,547</w:t>
            </w:r>
          </w:p>
        </w:tc>
        <w:tc>
          <w:tcPr>
            <w:tcW w:w="67" w:type="dxa"/>
            <w:tcBorders/>
            <w:shd w:fill="CCEE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affairs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3,414</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 (1)</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17,640</w:t>
            </w:r>
          </w:p>
        </w:tc>
        <w:tc>
          <w:tcPr>
            <w:tcW w:w="67" w:type="dxa"/>
            <w:tcBorders/>
            <w:shd w:fill="CCEE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43,229</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127,398</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3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147,297</w:t>
            </w:r>
          </w:p>
        </w:tc>
        <w:tc>
          <w:tcPr>
            <w:tcW w:w="67" w:type="dxa"/>
            <w:tcBorders/>
            <w:shd w:fill="FFFFFF" w:val="clear"/>
            <w:vAlign w:val="center"/>
          </w:tcPr>
          <w:p>
            <w:pPr>
              <w:pStyle w:val="TableContents"/>
              <w:bidi w:val="0"/>
              <w:spacing w:before="0" w:after="283"/>
              <w:jc w:val="left"/>
              <w:rPr/>
            </w:pPr>
            <w:r>
              <w:rPr/>
              <w:t> </w:t>
            </w:r>
          </w:p>
        </w:tc>
      </w:tr>
      <w:tr>
        <w:trPr/>
        <w:tc>
          <w:tcPr>
            <w:tcW w:w="287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w:t>
            </w:r>
          </w:p>
        </w:tc>
        <w:tc>
          <w:tcPr>
            <w:tcW w:w="67" w:type="dxa"/>
            <w:tcBorders/>
            <w:shd w:fill="CCEEFF" w:val="clear"/>
            <w:vAlign w:val="center"/>
          </w:tcPr>
          <w:p>
            <w:pPr>
              <w:pStyle w:val="TableContents"/>
              <w:bidi w:val="0"/>
              <w:spacing w:before="0" w:after="283"/>
              <w:jc w:val="left"/>
              <w:rPr/>
            </w:pPr>
            <w:r>
              <w:rPr/>
              <w:t> </w:t>
            </w:r>
          </w:p>
        </w:tc>
      </w:tr>
      <w:tr>
        <w:trPr/>
        <w:tc>
          <w:tcPr>
            <w:tcW w:w="287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44,902</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153,790</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Other research and development expense include regulatory affairs, pharmacovigilance, quality assurance, chemical manufacturing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Generally Accepted Accounting Principles (“GAAP”) in the United States, requires management to make estimates and assumptions that affect reported amounts of assets and liabilities, and disclosure of contingent assets and liabilities at the date of the balance sheet, and reported amounts of revenues and expenses for the period presented. Accordingly,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Significant estimates include estimates for variable consideration for which reserves were established. These estimates are included in the calculation of net revenues and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w:t>
      </w:r>
      <w:r>
        <w:rPr>
          <w:rFonts w:ascii="Times New Roman" w:hAnsi="Times New Roman"/>
          <w:caps w:val="false"/>
          <w:smallCaps w:val="false"/>
          <w:sz w:val="20"/>
          <w:shd w:fill="FFFFFF" w:val="clear"/>
        </w:rPr>
        <w:t>cts. Other significant estimates include those related to the valuation of deferred income taxes, legal and other expense accruals.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w:t>
      </w:r>
      <w:r>
        <w:rPr>
          <w:rFonts w:ascii="Times New Roman" w:hAnsi="Times New Roman"/>
          <w:b/>
          <w:caps w:val="false"/>
          <w:smallCaps w:val="false"/>
          <w:sz w:val="20"/>
          <w:shd w:fill="FFFFFF" w:val="clear"/>
        </w:rPr>
        <w:t>come per S</w:t>
      </w:r>
      <w:r>
        <w:rPr>
          <w:rFonts w:ascii="Times New Roman" w:hAnsi="Times New Roman"/>
          <w:b/>
          <w:caps w:val="false"/>
          <w:smallCaps w:val="false"/>
          <w:sz w:val="20"/>
        </w:rPr>
        <w:t xml:space="preserve">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Basic net income per share of common stock is computed by dividing net income available to common stockholders by the weighted-average number of shares of common stock outstanding during the periods presented, as required by Accounting Standards Codification (“ASC”),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For purposes of calculating diluted net income per share of common stock, the denominator includes both the weighted-average number of shares of common stock outstanding and the number of dilutive common stock equivalents, such as stock options, restricted stock units (“RSUs”) and warrants. A common stock equivalent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denominator when calculating diluted earnings per common share if the effect of such common stock equivalent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Our potentially dilutive securities include potential common shares related to our stock options and RSUs granted in connection with the Puma Biotechnology, Inc.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Incentive Award Plan and the Puma Biotechnology, Inc.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Employment Inducement Incentive Award Plan. Diluted earnings per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The following potentially dilutive outstanding common stock equivalents for the respective periods were excluded from diluted net income per share because of their anti-dilutive effect:</w:t>
      </w:r>
    </w:p>
    <w:p>
      <w:pPr>
        <w:pStyle w:val="TextBody"/>
        <w:bidi w:val="0"/>
        <w:spacing w:before="0" w:after="0"/>
        <w:ind w:left="0" w:right="0" w:firstLine="540"/>
        <w:jc w:val="left"/>
        <w:rPr>
          <w:caps w:val="false"/>
          <w:smallCaps w:val="false"/>
        </w:rPr>
      </w:pPr>
      <w:r>
        <w:rPr>
          <w:caps w:val="false"/>
          <w:smallCaps w:val="false"/>
        </w:rPr>
        <w:t> </w:t>
      </w:r>
    </w:p>
    <w:tbl>
      <w:tblPr>
        <w:tblW w:w="7496" w:type="dxa"/>
        <w:jc w:val="left"/>
        <w:tblInd w:w="0" w:type="dxa"/>
        <w:tblLayout w:type="fixed"/>
        <w:tblCellMar>
          <w:top w:w="0" w:type="dxa"/>
          <w:left w:w="0" w:type="dxa"/>
          <w:bottom w:w="0" w:type="dxa"/>
          <w:right w:w="0" w:type="dxa"/>
        </w:tblCellMar>
      </w:tblPr>
      <w:tblGrid>
        <w:gridCol w:w="2510"/>
        <w:gridCol w:w="60"/>
        <w:gridCol w:w="75"/>
        <w:gridCol w:w="1059"/>
        <w:gridCol w:w="75"/>
        <w:gridCol w:w="75"/>
        <w:gridCol w:w="75"/>
        <w:gridCol w:w="1059"/>
        <w:gridCol w:w="60"/>
        <w:gridCol w:w="60"/>
        <w:gridCol w:w="72"/>
        <w:gridCol w:w="1020"/>
        <w:gridCol w:w="72"/>
        <w:gridCol w:w="72"/>
        <w:gridCol w:w="72"/>
        <w:gridCol w:w="1020"/>
        <w:gridCol w:w="60"/>
      </w:tblGrid>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2,947,276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3,718,413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3,850,575</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outstanding</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2,116,250</w:t>
            </w:r>
          </w:p>
        </w:tc>
        <w:tc>
          <w:tcPr>
            <w:tcW w:w="6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229,495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354,821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751,139</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5,293,021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6,717,964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6,189,484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6,717,964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2,116,250 shares underlying the warrant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impact on our diluted net income per share until the average market price of our common stock exceeds the exercise price of $16 per share (see Note </w:t>
      </w:r>
      <w:r>
        <w:rPr>
          <w:rStyle w:val="Emphasis"/>
          <w:rFonts w:ascii="Times New Roman" w:hAnsi="Times New Roman"/>
          <w:caps w:val="false"/>
          <w:smallCaps w:val="false"/>
          <w:sz w:val="20"/>
        </w:rPr>
        <w:t>10—Stockholders’</w:t>
      </w:r>
      <w:r>
        <w:rPr>
          <w:rFonts w:ascii="Times New Roman" w:hAnsi="Times New Roman"/>
          <w:caps w:val="false"/>
          <w:smallCaps w:val="false"/>
          <w:sz w:val="20"/>
        </w:rPr>
        <w: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reconciliation of the numerators and denominators of the basic and diluted net income per share of common stock computations is as follows (in thousands, except share and per share amounts):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7"/>
        <w:gridCol w:w="60"/>
        <w:gridCol w:w="166"/>
        <w:gridCol w:w="1263"/>
        <w:gridCol w:w="79"/>
        <w:gridCol w:w="79"/>
        <w:gridCol w:w="166"/>
        <w:gridCol w:w="1263"/>
        <w:gridCol w:w="60"/>
        <w:gridCol w:w="60"/>
        <w:gridCol w:w="163"/>
        <w:gridCol w:w="1242"/>
        <w:gridCol w:w="78"/>
        <w:gridCol w:w="78"/>
        <w:gridCol w:w="163"/>
        <w:gridCol w:w="1242"/>
        <w:gridCol w:w="66"/>
      </w:tblGrid>
      <w:tr>
        <w:trPr/>
        <w:tc>
          <w:tcPr>
            <w:tcW w:w="39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 September 30,</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 for basic net income per share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50,339,456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2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49,008,464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49,881,181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48,498,579</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effect of dilutive common stock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590,437</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453,372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526,524</w:t>
            </w:r>
          </w:p>
        </w:tc>
        <w:tc>
          <w:tcPr>
            <w:tcW w:w="66"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 for diluted net income per share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50,929,893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49,173,361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50,334,553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49,025,103</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0.23</w:t>
            </w:r>
          </w:p>
        </w:tc>
        <w:tc>
          <w:tcPr>
            <w:tcW w:w="66"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Revenue from Contracts with Customers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the promised goods or services, in an amount that reflects the consideration that the entity expects to be entitled in exchange for those goods or services.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with customers until the FDA approved NERLYNX on </w:t>
      </w:r>
      <w:r>
        <w:rPr>
          <w:rStyle w:val="Emphasis"/>
          <w:rFonts w:ascii="Times New Roman" w:hAnsi="Times New Roman"/>
          <w:caps w:val="false"/>
          <w:smallCaps w:val="false"/>
          <w:sz w:val="20"/>
        </w:rPr>
        <w:t xml:space="preserve">July 17, 2017. </w:t>
      </w:r>
      <w:r>
        <w:rPr>
          <w:rFonts w:ascii="Times New Roman" w:hAnsi="Times New Roman"/>
          <w:caps w:val="false"/>
          <w:smallCaps w:val="false"/>
          <w:sz w:val="20"/>
        </w:rPr>
        <w:t>Subsequent to receiving FDA approval, the Company entered into a limited number of arrangements with specialty pharmacies and specialty distributors in the United States to distribute NERLYNX. These arrangements are the Company’s initial contracts with customers. The Company has determined that these sales channels with customers are similar.</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 xml:space="preserve">Product Revenue,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NERLYNX to a limited number of specialty pharmacies and specialty distributors in the United States. These customers subsequently resell the Company’s products to patients and certain medical centers or hospitals. In addition to distribution agreements with these customers, the Company enters into arrangements with healthcare providers and payors that provide for government mandated and/or privately negotiated rebates, chargebacks and discounts with respect to the purchase of the Company’s products.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recognizes revenue on product sales when the specialty pharmacy or specialty distributor, as applicable, obtains control of the Company’s product, which occurs at a point in time (upon delivery). Product revenue is recorded net of applicable reserves for variable consideration, including discounts and allowances. The Company’s payment terms range between</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68</w:t>
      </w:r>
      <w:r>
        <w:rPr>
          <w:rFonts w:ascii="Times New Roman" w:hAnsi="Times New Roman"/>
          <w:caps w:val="false"/>
          <w:smallCaps w:val="false"/>
          <w:sz w:val="20"/>
          <w:shd w:fill="FFFFFF" w:val="clear"/>
        </w:rPr>
        <w:t xml:space="preserve"> days.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Shipping and handling costs for product shipments occur prior to the customer obtaining control of the goods and are recorded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If taxes relating to product sales should be collected from customers and remitted to governmental authorities, they will be excluded from revenue. The Company expenses incremental costs of obtaining a contract when incurred if the expected amortization period of the asset that the Company would have recognized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costs were incurred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Reserves for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Revenue from product sales is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related sales, and are classified as reductions of accounts receivable, net when the right of offset exists in accordance with Accounting Standards Update (“ASU”) ASU </w:t>
      </w:r>
      <w:r>
        <w:rPr>
          <w:rStyle w:val="Emphasis"/>
          <w:rFonts w:ascii="Times New Roman" w:hAnsi="Times New Roman"/>
          <w:caps w:val="false"/>
          <w:smallCaps w:val="false"/>
          <w:sz w:val="20"/>
        </w:rPr>
        <w:t>2013</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Balance Sheet (Topic </w:t>
      </w:r>
      <w:r>
        <w:rPr>
          <w:rStyle w:val="Emphasis"/>
          <w:rFonts w:ascii="Times New Roman" w:hAnsi="Times New Roman"/>
          <w:i/>
          <w:caps w:val="false"/>
          <w:smallCaps w:val="false"/>
          <w:sz w:val="20"/>
        </w:rPr>
        <w:t>210</w:t>
      </w:r>
      <w:r>
        <w:rPr>
          <w:rFonts w:ascii="Times New Roman" w:hAnsi="Times New Roman"/>
          <w:i/>
          <w:caps w:val="false"/>
          <w:smallCaps w:val="false"/>
          <w:sz w:val="20"/>
        </w:rPr>
        <w:t>): Clarifying the Scope of Disclosures about Offsetting Assets and Liabilities,</w:t>
      </w:r>
      <w:r>
        <w:rPr>
          <w:rFonts w:ascii="Times New Roman" w:hAnsi="Times New Roman"/>
          <w:caps w:val="false"/>
          <w:smallCaps w:val="false"/>
          <w:sz w:val="20"/>
        </w:rPr>
        <w:t xml:space="preserve"> or as a current liability. These estimates take into consideration a range of possible outcomes that are probability-weighted in accordance with the expected value method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constrained and is included in the net sales price only to the extent that it is probable that a significant reversal in the amount of the cumulative revenue recognized under the contract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The Company’s analyses also contemplated application of the constraint in accordance with the guidance, under which it determined a significant reversal of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occur in a future period for the estimates detailed below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therefore, the transaction price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further during the quarter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Actual amounts of consideration ultimately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If actual results in the future vary from the Company’s estimates, the Company will adjust these estimates, which would affect net product revenue and earnings in the period such variances become known.</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Trade Discounts and Allowances: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generally provides customers with discounts, which include incentive fees that are explicitly stated in the Company’s contracts and are recorded as a reduction of revenue in the period the related product revenue is recognized. The reserve for discounts is established in the same period that the related revenue is recognized, together with reductions to accounts receivable, net on the consolidated balance sheets. In addition, the Company compensates its customers for sales order management, data, and distribution services. The Company has determined such services received to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from the Company’s sale of products to its customers and, therefore, these payments have been recorded as a reduction of revenue within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Product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Consistent with industry practice, the Company offers the specialty pharmacies and specialty distributors that are its customers limited product return rights for damaged and expiring product, provided it is within a specified period around the product expiration date as set forth in the applicable individual distribution agreement.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as a reduction of revenue in the period the related product revenue is recognized, as well as a reduction to accounts receivables, net on the consolidated balance sheets. The Company currently estimates product returns using its own sales information, including its visibility into the inventory remaining in the distribution channel. The Company has an insignificant number of returns to date and believes that returns of its products will continue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Provider Chargebacks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Chargebacks for fees and discounts to providers represent the estimated obligations resulting from contractual commitments to sell products to qualified healthcare providers at prices lower than the list prices charged to its customers who directly purchase the product from the Company.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a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Government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 subject to discount obligations under state Medicaid programs and Medicare. These reserves are recorded in the same period the related revenue is recognized, resulting in a reduction of product revenue, net and the establishment of a current liability, which is included in accrued expenses on the condensed consolidated balance sheets. The Company’s liability for these rebates consists of invoices received for claims from prior quarters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paid or for which an invoice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received, estimates of claims for the current quarter, and estimates of future claims that will be made for product that has been recognized as revenue, but which remains in the distribution channel at the end of each reporting period.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Payor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contracts with certain private payor organizations, primarily insurance companies and pharmacy benefit managers, for the payment of rebates with respect to utilization of its products. The Company estimates these rebates and records such estimates in the same period the related revenue is recognized, resulting in a reduction of product revenue, net and the establishment of a current liability, which is included in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Other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Other incentives the Company offers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 xml:space="preserve">License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also recognizes license revenue under certain of the Company’s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terms of these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contain multiple performance obligations,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and research and development activities. The Company evaluates these agreements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determine the distinct performance obligations. Non-refundable, upfront fees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any future performance and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consequential continuing involvement by the Company, are recognized as revenue when the license term commences and the licensed data, technology or product is delivered. The Company defers recognition of non-refundable upfront license fees if the performance obligations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 Company’s payment terms range between the execution date of the sub-license agreement and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and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has entered into sub-license agreements with certain sub-licensees in territories outside of the United States. These sub-licensing agreements grant certain intellectual property rights and set forth various obligations with respect to actions such as development, pursuit and maintenance of regulatory approvals, commercialization and supply of NERLYNX in the sub-licensees’ respective territories.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License fees under the sub-license agreements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upfront payments when each sub-license agreement was executed and potential additional </w:t>
      </w:r>
      <w:r>
        <w:rPr>
          <w:rStyle w:val="Emphasis"/>
          <w:rFonts w:ascii="Times New Roman" w:hAnsi="Times New Roman"/>
          <w:caps w:val="false"/>
          <w:smallCaps w:val="false"/>
          <w:sz w:val="20"/>
        </w:rPr>
        <w:t>one</w:t>
      </w:r>
      <w:r>
        <w:rPr>
          <w:rFonts w:ascii="Times New Roman" w:hAnsi="Times New Roman"/>
          <w:caps w:val="false"/>
          <w:smallCaps w:val="false"/>
          <w:sz w:val="20"/>
        </w:rPr>
        <w:t>-time milestone payments due to the Company upon successful completion of certain performance obligations, such as achieving regulatory approvals or sales target thresholds, and potential double-digit royalties on sales of the licensed product, calculated as a percentage of net sales of the licensed product throughout each sub-licensee’s respective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total potential milestone payments that would be due to the Company upon achievement of all respective performance obligations under the sub-license agreements is approximately $579.8 million. A</w:t>
      </w:r>
      <w:r>
        <w:rPr>
          <w:rFonts w:ascii="Times New Roman" w:hAnsi="Times New Roman"/>
          <w:caps w:val="false"/>
          <w:smallCaps w:val="false"/>
          <w:sz w:val="20"/>
          <w:shd w:fill="FFFFFF" w:val="clear"/>
        </w:rPr>
        <w:t xml:space="preserve">t </w:t>
      </w:r>
      <w:r>
        <w:rPr>
          <w:rFonts w:ascii="Times New Roman" w:hAnsi="Times New Roman"/>
          <w:caps w:val="false"/>
          <w:smallCaps w:val="false"/>
          <w:sz w:val="20"/>
        </w:rPr>
        <w:t>this time, the Company cannot estimate if or when these milestone-related performance obligations might be achieved.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the related sales occur in accordance with the sales-based royalty exception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55</w:t>
      </w:r>
      <w:r>
        <w:rPr>
          <w:rFonts w:ascii="Times New Roman" w:hAnsi="Times New Roman"/>
          <w:caps w:val="false"/>
          <w:smallCaps w:val="false"/>
          <w:sz w:val="20"/>
        </w:rPr>
        <w:t>-</w:t>
      </w:r>
      <w:r>
        <w:rPr>
          <w:rStyle w:val="Emphasis"/>
          <w:rFonts w:ascii="Times New Roman" w:hAnsi="Times New Roman"/>
          <w:caps w:val="false"/>
          <w:smallCaps w:val="false"/>
          <w:sz w:val="2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Royalty revenue consists of consideration earned related to international sales of NERLYNX made by the Company’s sub-licensees in their respective territories. The Company recognizes royalty revenue when the performance obligations have been satisfied. The Company’s payment terms range between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60</w:t>
      </w:r>
      <w:r>
        <w:rPr>
          <w:rFonts w:ascii="Times New Roman" w:hAnsi="Times New Roman"/>
          <w:caps w:val="false"/>
          <w:smallCaps w:val="false"/>
          <w:sz w:val="20"/>
        </w:rPr>
        <w:t> days.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Royalty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Royalties incurred in connection with the Company’s license agreement with Pfizer, as disclosed in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 are expensed to cost of sales as revenue from product sales is recognized.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Legal Contingencies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legal contingencies, the Company accrues a liability for an estimated loss if the potential loss from any claim or legal proceeding is considered probable and the amount can be reasonably estimated. Legal fees and expenses are expensed as incurred based on invoices or estimates provided by legal counsel. The Company periodically evaluates available information, both internal and external, relative to such contingencies and adjusts the accrual as necessary. The Company determines whether a contingency should be disclosed by assessing whether a material loss is deemed reasonably possible. In determining whether a loss should be accrued, the Company evaluates, among other factors, the degree of probability of an unfavorable outcome and the ability to make a reasonable estimate of the amount of the loss (see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w:t>
      </w:r>
      <w:r>
        <w:rPr>
          <w:rFonts w:ascii="Times New Roman" w:hAnsi="Times New Roman"/>
          <w:b/>
          <w:caps w:val="false"/>
          <w:smallCaps w:val="false"/>
          <w:sz w:val="20"/>
          <w:shd w:fill="FFFFFF" w:val="clear"/>
        </w:rPr>
        <w:t>nd Development Ex</w:t>
      </w:r>
      <w:r>
        <w:rPr>
          <w:rFonts w:ascii="Times New Roman" w:hAnsi="Times New Roman"/>
          <w:b/>
          <w:caps w:val="false"/>
          <w:smallCaps w:val="false"/>
          <w:sz w:val="20"/>
        </w:rPr>
        <w:t xml:space="preserve">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Research and development expenses are charged to operations as incurred. The major components of research and development costs include clinical manufacturing costs, clinical trial expenses, consulting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costs, salaries and employee benefits, stock-based compensation expense, supplies and materials, and allocations of various overhead costs. Clinical trial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investigator fees, site costs, comparator drug costs, and CRO costs. In the normal course of business, the Company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perform various clinical trial activities in the ongoing development of potential products. The financial terms of these agreements are subject to negotiation and variations from contract to contract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uneven payment flows. Payments under the contracts depend on factors such as the achievement of certain events, the successful enrollment of patients and the completion of portions of the clinical trial or similar conditions. The Company’s accruals for clinical trials are based on estimates of the services received and efforts expended pursuant to contracts with numerous clinical trial sites, cooperative groups and CROs. As actual costs become known, the Company adjusts its accruals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instances where the Company enters into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for clinical trials and other consulting activities, upfront amounts are recorded to prepaid expenses and other in the accompanying consolidated balance sheets and expensed as services are performed or as the underlying goods are delivered.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services to be rendered or goods to be delivered, any remaining capitalized amounts for non-refundable upfront payments are charged to expense immediately. Amounts due under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fixed fee or fee for service,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upfront payments, monthly payments and payments upon the completion of milestones or receipt of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Costs related to the acquisition of technology rights and patents for which development work is still in process are charged to operations as incurred and considered a component of research and development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color w:val="000000"/>
          <w:sz w:val="20"/>
        </w:rPr>
      </w:pPr>
      <w:r>
        <w:rPr>
          <w:rFonts w:ascii="Times New Roman;Times;serif" w:hAnsi="Times New Roman;Times;serif"/>
          <w:b/>
          <w:caps w:val="false"/>
          <w:smallCaps w:val="false"/>
          <w:color w:val="000000"/>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Stock Option Awards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requires the fair value of all share-based payments to employees and non-employees, including grants of stock options, to be recognized in the statement of operations over the requisite service period.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employee and non-employee option grants are generally valued at the grant date and those valuations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once they have been established. The fair value of each option award is estimated on the grant date using the Black-Scholes Option Pricing Method. As allowed by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Company’s estimate of expected volatility is based on its average volatility using its expective life, or approximately the last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years of publicly traded history. The risk-free rate for periods within the contractual life of the option is based on the U.S. Treasury yield curve in effect at the time of grant valuation. Option forfeitures are estimated when the option is granted to reduce the option expense to be recognized over the life of the award. The estimated forfeiture rate considers historical employee turnover rates stratified into employee pools, actual forfeiture experience and other factors. The option expense is adjusted upon the actual forfeiture of a stock option grant and the Company periodically revises the estimated forfeiture rate in subsequent periods if actual forfeitures differ from those estimates. Due to its limited history of stock option exercises, the Company uses the simplified method to determine the expected life of the option grants. Compensation expense related to modified stock options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RSUs are valued on the grant date and the fair value of the RSUs is equal to the market price of the Company’s common stock on the grant date. The RSU expense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date occurs, cumulative compensation cost shall be adjusted to reflect the cumulative effect of measuring compensation cost based on fair value at the grant date rather than the fair value previously used at the service inception date (or any subsequent reporting date). RSU forfeitures are estimated when the RSU is granted to reduce the RSU expense to be recognized over the life of the award. The estimated forfeiture rate considers historical employee turnover rates stratified into employee pools, actual forfeiture experience and other factors. The RSU expense is adjusted upon the actual forfeiture of an RSU grant and the Company periodically revises the estimated forfeiture rate in subsequent periods if actual forfeitures differ from those estimates. Compensation expense related to modified RSUs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i/>
          <w:caps w:val="false"/>
          <w:smallCaps w:val="false"/>
          <w:sz w:val="20"/>
        </w:rPr>
        <w:t>Warrants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Warrants (see Note </w:t>
      </w:r>
      <w:r>
        <w:rPr>
          <w:rStyle w:val="Emphasis"/>
          <w:rFonts w:ascii="Times New Roman" w:hAnsi="Times New Roman"/>
          <w:caps w:val="false"/>
          <w:smallCaps w:val="false"/>
          <w:sz w:val="20"/>
        </w:rPr>
        <w:t>10—Stoc</w:t>
      </w:r>
      <w:r>
        <w:rPr>
          <w:rFonts w:ascii="Times New Roman" w:hAnsi="Times New Roman"/>
          <w:caps w:val="false"/>
          <w:smallCaps w:val="false"/>
          <w:sz w:val="20"/>
          <w:shd w:fill="FFFFFF" w:val="clear"/>
        </w:rPr>
        <w:t>kholders’ Equity for fu</w:t>
      </w:r>
      <w:r>
        <w:rPr>
          <w:rFonts w:ascii="Times New Roman" w:hAnsi="Times New Roman"/>
          <w:caps w:val="false"/>
          <w:smallCaps w:val="false"/>
          <w:sz w:val="20"/>
        </w:rPr>
        <w:t xml:space="preserve">rther details) granted to employees and non-employees are normally valued at the fair value of the instrument on the grant date and are recognized in the statement of operations over the requisite service period. When the requisite service period precedes the grant date and a market condition exists in the warrant, the Company values the warrant using the Monte Carlo Simulation Method. When the terms of the warrant become fixed, the Company values the warrant using the Black-Scholes Option Pricing Method. As allowed by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Company’s estimate of expected volatility is based on its average volatility using its past </w:t>
      </w:r>
      <w:r>
        <w:rPr>
          <w:rStyle w:val="Emphasis"/>
          <w:rFonts w:ascii="Times New Roman" w:hAnsi="Times New Roman"/>
          <w:caps w:val="false"/>
          <w:smallCaps w:val="false"/>
          <w:sz w:val="20"/>
        </w:rPr>
        <w:t>nine</w:t>
      </w:r>
      <w:r>
        <w:rPr>
          <w:rFonts w:ascii="Times New Roman" w:hAnsi="Times New Roman"/>
          <w:caps w:val="false"/>
          <w:smallCaps w:val="false"/>
          <w:sz w:val="20"/>
        </w:rPr>
        <w:t> years of publicly traded history. The risk-free rate for periods within the contractual life of the warrant is based on the U.S. Treasury yield curve in effect at the time of grant valuation. In determining the value of the warrant until the terms are fixed, the Company factors in the probability of the market condition occurring and several possible scenarios. When the requisite service period precedes the grant date and is deemed to be complete, the Company records the fair value of the warrant at the time of issuance as an equity stock-based compensation transaction. The grant date is determined when all pertinent information, such as exercise price and quantity are known.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follows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Deferred tax assets and liabilities are measured using enacted tax rates expected to apply to taxable income in the years in which those temporary differences are expected to be recovered or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standard addresses the determination of whether tax benefits claimed or expected to be claimed on a tax return should be recorded in the consolidated financial statements.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recognize the tax benefit from an uncertain tax position only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tax position will be sustained on examination by the tax authorities, based on the technical merits of the position. The tax benefits recognized in the consolidated financial statements from such a position should be measured based on the largest benefit that has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also provides guidance on de-recognition, classification, interest and penalties on income taxes, accounting in interim periods and requires increased disclosures.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Company’s uncertain tax positions include a reserve for its research and development credits.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was signed into law, which includes significant changes to federal tax law and other regulatory provisions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impact the Company. As of the date of these financial statements, the Company has evaluated the impact of the changes to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 Amortization of research and experimental expenditures on the valuation allowance release. The Company intends to deduct the capitalized costs over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This deduction reduces the amount of net operating losses being utilized but results in a net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change to the deferred tax asset balance. Therefore, the Company has concluded that it remains reasonable to maintain the $7.0 million estimate for the valuation allowance release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as the facts and circumstances supporting the deferred tax asset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changed.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carrying value of financial instruments, such as cash equivalents, accounts receivable and accounts payable, approximate their fair value because of their short-term nature. The carrying value of long-term debt approximates its fair value as the principal amounts outstanding are subject to variable interest rates that are based on market rates that are regularly reset.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highly liquid instruments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as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Restricted cash represents cash held at financial institutions that is pledged as collateral for stand-by letters of credit for office leas</w:t>
      </w:r>
      <w:r>
        <w:rPr>
          <w:rFonts w:ascii="Times New Roman" w:hAnsi="Times New Roman"/>
          <w:caps w:val="false"/>
          <w:smallCaps w:val="false"/>
          <w:sz w:val="20"/>
          <w:shd w:fill="FFFFFF" w:val="clear"/>
        </w:rPr>
        <w:t>es</w:t>
      </w:r>
      <w:r>
        <w:rPr>
          <w:rFonts w:ascii="Times New Roman" w:hAnsi="Times New Roman"/>
          <w:caps w:val="false"/>
          <w:smallCaps w:val="false"/>
          <w:sz w:val="20"/>
        </w:rPr>
        <w:t xml:space="preserve">. The lease-related letters of credit will lapse at the end of the respective lease terms through </w:t>
      </w:r>
      <w:r>
        <w:rPr>
          <w:rStyle w:val="Emphasis"/>
          <w:rFonts w:ascii="Times New Roman" w:hAnsi="Times New Roman"/>
          <w:caps w:val="false"/>
          <w:smallCaps w:val="false"/>
          <w:sz w:val="20"/>
        </w:rPr>
        <w:t>2</w:t>
      </w:r>
      <w:r>
        <w:rPr>
          <w:rStyle w:val="Emphasis"/>
          <w:rFonts w:ascii="Times New Roman" w:hAnsi="Times New Roman"/>
          <w:caps w:val="false"/>
          <w:smallCaps w:val="false"/>
          <w:sz w:val="20"/>
          <w:shd w:fill="FFFFFF" w:val="clear"/>
        </w:rPr>
        <w:t>026.</w:t>
      </w:r>
      <w:r>
        <w:rPr>
          <w:rFonts w:ascii="Times New Roman" w:hAnsi="Times New Roman"/>
          <w:caps w:val="false"/>
          <w:smallCaps w:val="false"/>
          <w:sz w:val="20"/>
          <w:shd w:fill="FFFFFF" w:val="clear"/>
        </w:rPr>
        <w:t xml:space="preserve"> At each of the periods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shd w:fill="FFFFFF" w:val="clear"/>
        </w:rPr>
        <w:t>, the Company had restricted cash in the amount of approximately $2.1 million.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Investment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investment securities (short-term and long-term) as available-for-sale, as the sale of such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prior to maturity to implement management’s strategies. These securities are carried at fair value, with the unrealized gains and losses reported as a component of accumulated other comprehensive income in stockholders’ equity until realized. Realized gains and losses from the sale of available-for-sale securities, if any, are determined on a specific identification basis. In accordance with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Measurement of Credit Losses on Financial Instruments</w:t>
      </w:r>
      <w:r>
        <w:rPr>
          <w:rFonts w:ascii="Times New Roman" w:hAnsi="Times New Roman"/>
          <w:caps w:val="false"/>
          <w:smallCaps w:val="false"/>
          <w:sz w:val="20"/>
        </w:rPr>
        <w:t>, credit losses on available-for-sale securities are reported using an expected loss model and recorded to an allowance. Premiums and discounts are amortized or accreted over the life of the related security as an adjustment to yield using the straight-line method. Interest income is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Assets Measured at Fair Value on a Recurring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provides a single definition of fair value and a common framework for measuring fair value as well as disclosure requirements for fair value measurements used in financial statements. Under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creates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to prioritize the inputs used in the valuation techniques to derive fair values. The basis for fair value measurements for each level within the hierarchy is described below, with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having the highest priority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having the lowest.</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695"/>
        <w:gridCol w:w="5195"/>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1:</w:t>
            </w:r>
          </w:p>
        </w:tc>
        <w:tc>
          <w:tcPr>
            <w:tcW w:w="5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583"/>
        <w:gridCol w:w="9562"/>
      </w:tblGrid>
      <w:tr>
        <w:trPr/>
        <w:tc>
          <w:tcPr>
            <w:tcW w:w="60"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2:</w:t>
            </w:r>
          </w:p>
        </w:tc>
        <w:tc>
          <w:tcPr>
            <w:tcW w:w="9562" w:type="dxa"/>
            <w:tcBorders/>
            <w:vAlign w:val="center"/>
          </w:tcPr>
          <w:p>
            <w:pPr>
              <w:pStyle w:val="TableContents"/>
              <w:bidi w:val="0"/>
              <w:spacing w:before="0" w:after="0"/>
              <w:ind w:left="0" w:right="0" w:hanging="0"/>
              <w:jc w:val="left"/>
              <w:rPr/>
            </w:pPr>
            <w:r>
              <w:rPr>
                <w:rFonts w:ascii="Times New Roman" w:hAnsi="Times New Roman"/>
                <w:sz w:val="20"/>
              </w:rPr>
              <w:t xml:space="preserve">Quoted prices for similar assets or liabilities in active markets; quoted prices for identical or similar instruments in markets that are </w:t>
            </w:r>
            <w:r>
              <w:rPr>
                <w:rStyle w:val="Emphasis"/>
                <w:rFonts w:ascii="Times New Roman" w:hAnsi="Times New Roman"/>
                <w:sz w:val="20"/>
              </w:rPr>
              <w:t>not</w:t>
            </w:r>
            <w:r>
              <w:rPr>
                <w:rFonts w:ascii="Times New Roman" w:hAnsi="Times New Roman"/>
                <w:sz w:val="20"/>
              </w:rPr>
              <w:t xml:space="preserve"> active; and model-derived valuations in which all significant inputs are observable in active markets.</w:t>
            </w:r>
          </w:p>
        </w:tc>
      </w:tr>
    </w:tbl>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60"/>
        <w:gridCol w:w="695"/>
        <w:gridCol w:w="8435"/>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3:</w:t>
            </w:r>
          </w:p>
        </w:tc>
        <w:tc>
          <w:tcPr>
            <w:tcW w:w="8435" w:type="dxa"/>
            <w:tcBorders/>
            <w:vAlign w:val="center"/>
          </w:tcPr>
          <w:p>
            <w:pPr>
              <w:pStyle w:val="TableContents"/>
              <w:bidi w:val="0"/>
              <w:spacing w:before="0" w:after="0"/>
              <w:ind w:left="0" w:right="0" w:hanging="0"/>
              <w:jc w:val="left"/>
              <w:rPr/>
            </w:pPr>
            <w:r>
              <w:rPr>
                <w:rFonts w:ascii="Times New Roman" w:hAnsi="Times New Roman"/>
                <w:sz w:val="20"/>
              </w:rPr>
              <w:t xml:space="preserve">Valuations derived from valuation techniques in which </w:t>
            </w:r>
            <w:r>
              <w:rPr>
                <w:rStyle w:val="Emphasis"/>
                <w:rFonts w:ascii="Times New Roman" w:hAnsi="Times New Roman"/>
                <w:sz w:val="20"/>
              </w:rPr>
              <w:t>one</w:t>
            </w:r>
            <w:r>
              <w:rPr>
                <w:rFonts w:ascii="Times New Roman" w:hAnsi="Times New Roman"/>
                <w:sz w:val="20"/>
              </w:rPr>
              <w:t xml:space="preserve"> or more significant inputs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Following are the major categories of assets measured at fair value on a recurring basis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using quoted prices in active markets for identical assets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significant other observable inputs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47,581</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20,449</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962</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19,452</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4"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125"/>
        <w:gridCol w:w="590"/>
        <w:gridCol w:w="60"/>
        <w:gridCol w:w="60"/>
        <w:gridCol w:w="200"/>
        <w:gridCol w:w="419"/>
        <w:gridCol w:w="60"/>
        <w:gridCol w:w="60"/>
        <w:gridCol w:w="125"/>
        <w:gridCol w:w="590"/>
        <w:gridCol w:w="60"/>
      </w:tblGrid>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17,568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investments in commercial</w:t>
      </w:r>
      <w:r>
        <w:rPr>
          <w:rFonts w:ascii="Times New Roman" w:hAnsi="Times New Roman"/>
          <w:caps w:val="false"/>
          <w:smallCaps w:val="false"/>
          <w:sz w:val="20"/>
          <w:shd w:fill="FFFFFF" w:val="clear"/>
        </w:rPr>
        <w:t xml:space="preserve"> pa</w:t>
      </w:r>
      <w:r>
        <w:rPr>
          <w:rFonts w:ascii="Times New Roman" w:hAnsi="Times New Roman"/>
          <w:caps w:val="false"/>
          <w:smallCaps w:val="false"/>
          <w:color w:val="000000"/>
          <w:sz w:val="20"/>
          <w:shd w:fill="FFFFFF" w:val="clear"/>
        </w:rPr>
        <w:t>per a</w:t>
      </w:r>
      <w:r>
        <w:rPr>
          <w:rFonts w:ascii="Times New Roman" w:hAnsi="Times New Roman"/>
          <w:caps w:val="false"/>
          <w:smallCaps w:val="false"/>
          <w:sz w:val="20"/>
          <w:shd w:fill="FFFFFF" w:val="clear"/>
        </w:rPr>
        <w:t>n</w:t>
      </w:r>
      <w:r>
        <w:rPr>
          <w:rFonts w:ascii="Times New Roman" w:hAnsi="Times New Roman"/>
          <w:caps w:val="false"/>
          <w:smallCaps w:val="false"/>
          <w:sz w:val="20"/>
        </w:rPr>
        <w:t>d U.S. government securities are exposed to price fluctuations. The fair value measurements for commercial p</w:t>
      </w:r>
      <w:r>
        <w:rPr>
          <w:rFonts w:ascii="Times New Roman" w:hAnsi="Times New Roman"/>
          <w:caps w:val="false"/>
          <w:smallCaps w:val="false"/>
          <w:sz w:val="20"/>
          <w:shd w:fill="FFFFFF" w:val="clear"/>
        </w:rPr>
        <w:t>aper, corporate bonds an</w:t>
      </w:r>
      <w:r>
        <w:rPr>
          <w:rFonts w:ascii="Times New Roman" w:hAnsi="Times New Roman"/>
          <w:caps w:val="false"/>
          <w:smallCaps w:val="false"/>
          <w:sz w:val="20"/>
        </w:rPr>
        <w:t>d U.S. government securities are based upon the quoted prices of similar items in active markets multiplied by the number of securities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Company’s cash equivalents and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210"/>
        <w:gridCol w:w="935"/>
        <w:gridCol w:w="60"/>
        <w:gridCol w:w="152"/>
        <w:gridCol w:w="723"/>
        <w:gridCol w:w="60"/>
        <w:gridCol w:w="60"/>
        <w:gridCol w:w="162"/>
        <w:gridCol w:w="338"/>
        <w:gridCol w:w="62"/>
        <w:gridCol w:w="62"/>
        <w:gridCol w:w="181"/>
        <w:gridCol w:w="379"/>
        <w:gridCol w:w="80"/>
        <w:gridCol w:w="60"/>
        <w:gridCol w:w="163"/>
        <w:gridCol w:w="771"/>
        <w:gridCol w:w="60"/>
      </w:tblGrid>
      <w:tr>
        <w:trPr/>
        <w:tc>
          <w:tcPr>
            <w:tcW w:w="221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September 30, 2025</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47,581</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20,449</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962</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19,452</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88,444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210"/>
        <w:gridCol w:w="935"/>
        <w:gridCol w:w="60"/>
        <w:gridCol w:w="152"/>
        <w:gridCol w:w="723"/>
        <w:gridCol w:w="60"/>
        <w:gridCol w:w="60"/>
        <w:gridCol w:w="176"/>
        <w:gridCol w:w="324"/>
        <w:gridCol w:w="62"/>
        <w:gridCol w:w="62"/>
        <w:gridCol w:w="168"/>
        <w:gridCol w:w="392"/>
        <w:gridCol w:w="80"/>
        <w:gridCol w:w="60"/>
        <w:gridCol w:w="163"/>
        <w:gridCol w:w="771"/>
        <w:gridCol w:w="60"/>
      </w:tblGrid>
      <w:tr>
        <w:trPr/>
        <w:tc>
          <w:tcPr>
            <w:tcW w:w="221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2024</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14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55,098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2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3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17,568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14,178</w:t>
            </w:r>
          </w:p>
        </w:tc>
        <w:tc>
          <w:tcPr>
            <w:tcW w:w="60" w:type="dxa"/>
            <w:tcBorders/>
            <w:shd w:fill="CCEEFF" w:val="clear"/>
            <w:vAlign w:val="center"/>
          </w:tcPr>
          <w:p>
            <w:pPr>
              <w:pStyle w:val="TableContents"/>
              <w:bidi w:val="0"/>
              <w:spacing w:before="0" w:after="283"/>
              <w:jc w:val="left"/>
              <w:rPr/>
            </w:pPr>
            <w:r>
              <w:rPr/>
              <w:t> </w:t>
            </w:r>
          </w:p>
        </w:tc>
      </w:tr>
      <w:tr>
        <w:trPr/>
        <w:tc>
          <w:tcPr>
            <w:tcW w:w="3145"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86,844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Concentration of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Financial instruments, which potentially subject the Company to concentrations of credit risk, principally consist of cash and cash equivalents, marketable securities, and accounts receivable, net. The Company’s cash and cash equivalents and restricted cash in excess of the Federal Deposit Insurance Corporation and the Securities Investor Protection Corporation insured </w:t>
      </w:r>
      <w:r>
        <w:rPr>
          <w:rFonts w:ascii="Times New Roman" w:hAnsi="Times New Roman"/>
          <w:caps w:val="false"/>
          <w:smallCaps w:val="false"/>
          <w:sz w:val="20"/>
          <w:shd w:fill="FFFFFF" w:val="clear"/>
        </w:rPr>
        <w:t xml:space="preserve">limits at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were approximately $54.9 million. The Company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believe it is exposed to any significant credit risk due to the quality nature of the financial instruments in which the money is held. Pursuant to the Company’s internal investment policy, investments must be rated A-</w:t>
      </w:r>
      <w:r>
        <w:rPr>
          <w:rStyle w:val="Emphasis"/>
          <w:rFonts w:ascii="Times New Roman" w:hAnsi="Times New Roman"/>
          <w:caps w:val="false"/>
          <w:smallCaps w:val="false"/>
          <w:sz w:val="20"/>
          <w:shd w:fill="FFFFFF" w:val="clear"/>
        </w:rPr>
        <w:t>1/P</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or better by Standard and Poor’s Rating Service and Moody’s Investors Service at the time of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its products in the United States primarily through specialty pharmacies and specialty distributors. Therefore, wholesale distributors and large pharmacy chains account for a large portion of its accounts receivables, net and product revenues, net. The creditworthiness of its customers is continuously monitored, and the Company has internal policies regarding customer credit limits. The Company estimates an allowance for credit loss primarily based on the creditworthiness of its customers, historical payment patterns, aging of receivable balances and general economic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success depends on its ability to successfully commercialize NERLYNX. The Company currently has a single product and limited commercial sales experience, which makes it difficult to evaluate its current business, predict its future prospects and forecast financial performance and growth. The Company has invested a significant portion of its efforts and financial resources in the development and commercialization of the lead product, NERLYNX, and expects NERLYNX to constitute the vast majority of product revenue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relies exclusively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formulate and manufacture NERLYNX and its drug candidates. The commercialization of NERLYNX and any other drug candidates, if approved, could be stopped, delayed or made less profitable if those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fail to provide sufficient quantities of product or fail to do so at acceptable quality levels or prices.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experience in drug formulation or manufacturing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establish its own manufacturing facilities. The Company lacks the resources and expertise to formulate or manufacture NERLYNX and other drug candidates. While the drug candidates were developed by Pfizer, both the drug substance and drug product are manufactured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The Company is using the same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to manufacture, supply, store and distribute drug supplies for clinical trials and the commercialization of NERLYNX. If the Company is unable to continue its relationships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it could experience delays in the development or commercialization efforts as it locates and qualifies new manufacturers. The Company intends to rely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w:t>
      </w:r>
      <w:r>
        <w:rPr>
          <w:rStyle w:val="Emphasis"/>
          <w:rFonts w:ascii="Times New Roman" w:hAnsi="Times New Roman"/>
          <w:caps w:val="false"/>
          <w:smallCaps w:val="false"/>
          <w:sz w:val="20"/>
        </w:rPr>
        <w:t>third</w:t>
      </w:r>
      <w:r>
        <w:rPr>
          <w:rFonts w:ascii="Times New Roman" w:hAnsi="Times New Roman"/>
          <w:caps w:val="false"/>
          <w:smallCaps w:val="false"/>
          <w:sz w:val="20"/>
        </w:rPr>
        <w:t>-party contractors to manufacture the commercial supply of drugs.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values its inventories at the lower of cost and estimated net realizable value. The Company determines the cost of its inventories, which includes amounts related to materials and manufacturing overhead,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uses standard costing. The Company performs an assessment of the recoverability of capitalized inventory during each reporting period, and it writes down any excess and obsolete inventories to their estimated realizable value in the period in which the impairment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identified. Such impairment charges, should they occur, are recorded within the cost of sales in the condensed consolidated statements of operations. The determination of whether inventory costs will be realizable requires estimates by management. If actual market conditions are less favorable than projected by management, additional write-downs of inventory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which would be recorded as a cost of sales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capitalizes inventory costs associated with the Company’s products after regulatory approval, if any, when, based on management’s judgment, future commercialization is considered probable, and the future economic benefit is expected to be realized. Inventory that can be used in either the production of clinical or commercial product is recorded as research and development expense when selected for use in a clinical trial. Starter kits, provided to patients prior to insurance approval, are expensed by the Company to selling, general and administrative expense as incurred. Of the total inventory amounts noted below, approximately $4.8 million is located at contract manufacturing organizations in Europe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inventory balances are as follows: </w:t>
      </w:r>
    </w:p>
    <w:p>
      <w:pPr>
        <w:pStyle w:val="TextBody"/>
        <w:bidi w:val="0"/>
        <w:spacing w:before="0" w:after="0"/>
        <w:ind w:left="0" w:right="0" w:firstLine="820"/>
        <w:jc w:val="left"/>
        <w:rPr>
          <w:caps w:val="false"/>
          <w:smallCaps w:val="false"/>
        </w:rPr>
      </w:pPr>
      <w:r>
        <w:rPr>
          <w:caps w:val="false"/>
          <w:smallCaps w:val="false"/>
        </w:rPr>
        <w:t> </w:t>
      </w:r>
    </w:p>
    <w:tbl>
      <w:tblPr>
        <w:tblW w:w="7408" w:type="dxa"/>
        <w:jc w:val="left"/>
        <w:tblInd w:w="0" w:type="dxa"/>
        <w:tblLayout w:type="fixed"/>
        <w:tblCellMar>
          <w:top w:w="0" w:type="dxa"/>
          <w:left w:w="0" w:type="dxa"/>
          <w:bottom w:w="0" w:type="dxa"/>
          <w:right w:w="0" w:type="dxa"/>
        </w:tblCellMar>
      </w:tblPr>
      <w:tblGrid>
        <w:gridCol w:w="3905"/>
        <w:gridCol w:w="60"/>
        <w:gridCol w:w="338"/>
        <w:gridCol w:w="1316"/>
        <w:gridCol w:w="60"/>
        <w:gridCol w:w="60"/>
        <w:gridCol w:w="329"/>
        <w:gridCol w:w="1280"/>
        <w:gridCol w:w="6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7,183</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Work-in-process (materials, labor and overhead)</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 (materials, labor and overhead)</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8,724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and amortization. Depreciation is computed using the straight-line method over the useful lives of the assets, which is generally three years for computer hardware and software, three years for phone equipment, and seven years for furniture and fixtures. Leasehold improvements are amortized using the straight-line method over the lesser of the useful life or the lease term. Upon retirement or sale, the cost of assets disposed of and the related accumulated depreciation are eliminated from the accounts and any resulting gain or loss is credited or charged to operations. Repairs and maintenance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reviews its long-lived assets used in operations for impairment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as required by ASC Topic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Property, Plant, and Equipment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360”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Company performs a recoverability test by comparing the sum of the estimated undiscounted cash flows over the life of the asset to its carrying value on the consolidated balance sheet. If the undiscounted cash flows used in the recoverability test are less than the carrying value, the Company would then determine the fair value of the long-lived asset and recognize an impairment loss for the amount in excess of the carrying value. No impairments were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xml:space="preserve">, as adopted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requires lessees to recognize most leases on the balance sheet with a corresponding right-of-use asset (“ROU asset”). ROU assets</w:t>
      </w:r>
      <w:r>
        <w:rPr>
          <w:rFonts w:ascii="Times New Roman" w:hAnsi="Times New Roman"/>
          <w:caps w:val="false"/>
          <w:smallCaps w:val="false"/>
          <w:sz w:val="20"/>
          <w:shd w:fill="FFFFFF" w:val="clear"/>
        </w:rPr>
        <w:t xml:space="preserve"> represent the Company’s right to use an underlying asset for the lease term and lease liabilities represent the Company’s obligation to make lease payments arising from the lease. The assets and lease liabilities are recognized at the lease commencement date based on the estimated present value of fixed lease payments over the lease term. ROU assets are evaluated for impairment using the long-lived assets impairment guidance, as required by ASC </w:t>
      </w:r>
      <w:r>
        <w:rPr>
          <w:rStyle w:val="Emphasis"/>
          <w:rFonts w:ascii="Times New Roman" w:hAnsi="Times New Roman"/>
          <w:caps w:val="false"/>
          <w:smallCaps w:val="false"/>
          <w:sz w:val="20"/>
          <w:shd w:fill="FFFFFF" w:val="clear"/>
        </w:rPr>
        <w:t>360</w:t>
      </w:r>
      <w:r>
        <w:rPr>
          <w:rFonts w:ascii="Times New Roman" w:hAnsi="Times New Roman"/>
          <w:i/>
          <w:caps w:val="false"/>
          <w:smallCaps w:val="false"/>
          <w:sz w:val="20"/>
          <w:shd w:fill="FFFFFF" w:val="clear"/>
        </w:rPr>
        <w:t>.</w:t>
      </w:r>
      <w:r>
        <w:rPr>
          <w:rFonts w:ascii="Times New Roman" w:hAnsi="Times New Roman"/>
          <w:caps w:val="false"/>
          <w:smallCaps w:val="false"/>
          <w:sz w:val="20"/>
          <w:shd w:fill="FFFFFF" w:val="clear"/>
        </w:rPr>
        <w:t xml:space="preserve"> A significant indication of impairment of an ROU asset would include a change in the extent or manner in which the asset is being used. The Company must make assumptions that underlie the most significant and subjective estimates in determining whether any impairment exists. Those estimates, and the underlying assumptions, include estimates of future cash flow utilizing market lease rates and determination of fair value. If an ROU asset related to an operating lease is impaired, the carrying value of the ROU asset post-impairment should be amortized on a straight-line basis through the earlier of the end of the useful life of the ROU asset or the end of the lease term. Post impairment, a lessee must calculate the amortization of the ROU asset and interest expense on the lease liability separately, although the sum of the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continues to be presented as a single lease cost. If a lease is planned to be abandoned with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intention of subleasing, the ROU asset should be assessed for impairment.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Leases are classified as financing or operating, which will drive the expense recognition pattern. The Company elects to exclude short-term leases if and when the Company has them. For additional information, see Note </w:t>
      </w:r>
      <w:r>
        <w:rPr>
          <w:rStyle w:val="Emphasis"/>
          <w:rFonts w:ascii="Times New Roman" w:hAnsi="Times New Roman"/>
          <w:caps w:val="false"/>
          <w:smallCaps w:val="false"/>
          <w:sz w:val="20"/>
        </w:rPr>
        <w:t>5—Leases.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leases office space and copy machines, all of which are operating leases. Most leases include the option to renew, and the exercise of the renewal options is at the Company’s sole discretion. Options to extend or terminate a lease are considered in the lease term to the extent that the option is reasonably certain of exercise. The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options to purchase the leased property. The depreciable life of assets and leasehold improvements is limited by the expected lease term. Covenants imposed by the leases include letters of credit required to be obtained by the lessee.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remeasure the lease liability and make an adjustment in the following instances: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The term of the lease has been modified or there has been a change in the Company’s assessment of a purchase option being exercised, in which case the lease liability is remeasured by discounting the revised lease payments using a revised discount</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t>rate;</w:t>
      </w:r>
    </w:p>
    <w:p>
      <w:pPr>
        <w:pStyle w:val="TextBody"/>
        <w:bidi w:val="0"/>
        <w:spacing w:before="0" w:after="0"/>
        <w:ind w:left="540" w:right="0" w:firstLine="180"/>
        <w:jc w:val="left"/>
        <w:rPr/>
      </w:pPr>
      <w:r>
        <w:rPr>
          <w:rFonts w:ascii="Times New Roman" w:hAnsi="Times New Roman"/>
          <w:caps w:val="false"/>
          <w:smallCaps w:val="false"/>
          <w:sz w:val="20"/>
        </w:rPr>
        <w:br/>
        <w:t xml:space="preserve">•  A lease contract is modified, and the lease modification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a separate lease, in which case the lease liability is remeasured by discounting the revised lease payments using a revised discount rate; and</w:t>
      </w:r>
    </w:p>
    <w:p>
      <w:pPr>
        <w:pStyle w:val="TextBody"/>
        <w:bidi w:val="0"/>
        <w:spacing w:before="0" w:after="0"/>
        <w:ind w:left="540" w:right="0" w:firstLine="180"/>
        <w:jc w:val="left"/>
        <w:rPr>
          <w:rFonts w:ascii="Times New Roman" w:hAnsi="Times New Roman"/>
          <w:caps w:val="false"/>
          <w:smallCaps w:val="false"/>
          <w:sz w:val="20"/>
        </w:rPr>
      </w:pPr>
      <w:r>
        <w:rPr>
          <w:rFonts w:ascii="Times New Roman" w:hAnsi="Times New Roman"/>
          <w:caps w:val="false"/>
          <w:smallCaps w:val="false"/>
          <w:sz w:val="20"/>
        </w:rPr>
        <w:br/>
        <w:t>•  The lease payments are adjusted due to changes in the index or a change in expected payment under a guaranteed residual value, in which cases the lease liability is remeasured by discounting the revised lease payments using the initial 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incremental borrowing rate (“IBR”) represents the rate of interest the Company would expect to pay on a collateralized basis to borrow an amount equal to the lease payments under similar terms. As the implicit rate on the Company’s leases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the Company uses its IBR based on the information available at the commencement date in determining the present value of lease payments. The Company’s average IBR for existing lea</w:t>
      </w:r>
      <w:r>
        <w:rPr>
          <w:rFonts w:ascii="Times New Roman" w:hAnsi="Times New Roman"/>
          <w:caps w:val="false"/>
          <w:smallCaps w:val="false"/>
          <w:sz w:val="20"/>
          <w:shd w:fill="FFFFFF" w:val="clear"/>
        </w:rPr>
        <w:t xml:space="preserve">ses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is </w:t>
      </w:r>
      <w:r>
        <w:rPr>
          <w:rFonts w:ascii="Times New Roman" w:hAnsi="Times New Roman"/>
          <w:caps w:val="false"/>
          <w:smallCaps w:val="false"/>
          <w:sz w:val="20"/>
        </w:rPr>
        <w:t>12.4%</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License Fees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expenses amounts paid to acquire licenses associated with products under development when the ultimate recoverability of the amounts paid is uncertain and the technology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when acquired. Acquisitions of technology licenses are charged to expense or capitalized based upon the asset achieving technological feasibility in accordance with management’s assessment regarding the ultimate recoverability of the amounts paid and the potential for alternative future use. The Company has determined that technological feasibility for its drug candidates is reached when the requisite regulatory approvals are obtained to make the product available for sale. The Company capitalizes technology licenses upon reaching technological feasibility.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maintains definite-lived intangible assets related to the license agreement with Pfizer. These assets are amortized over their remaining useful lives, which are estimated based on the shorter of the remaining patent life or the estimated useful life of the underlying product. Intangible assets are amortized using the economic consumption method if anticipated future revenues can be reasonably estimated. The straight-line method is used when future revenues cannot be reasonably estimated. Amortization costs are recorded as part of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assesses its intangible assets for impairment if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Events that could result in an impairment, or trigger an interim impairment assessment, include the receipt of additional clinical or non-clinical data regarding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drug candidates or a potentially competitive drug candidate, changes in the clinical development program for a drug candidate, or new information regarding potential sales of the drug. If impairment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exist, the Company performs a recoverability test by comparing the sum of the estimated undiscounted cash flows of each asset to its carrying value on the consolidated balance sheet. If the undiscounted cash flows used in the recoverability test are less than the carrying value, the Company would determine the fair value of the intangible asset and recognize an impairment loss if the carrying value of the intangible asset exceeds its fair value.</w:t>
      </w:r>
      <w:r>
        <w:rPr>
          <w:rFonts w:ascii="Times New Roman" w:hAnsi="Times New Roman"/>
          <w:caps w:val="false"/>
          <w:smallCaps w:val="false"/>
          <w:sz w:val="20"/>
          <w:shd w:fill="FFFFFF" w:val="clea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Standar</w:t>
      </w:r>
      <w:r>
        <w:rPr>
          <w:rFonts w:ascii="Times New Roman" w:hAnsi="Times New Roman"/>
          <w:b/>
          <w:caps w:val="false"/>
          <w:smallCaps w:val="false"/>
          <w:sz w:val="20"/>
          <w:shd w:fill="FFFFFF" w:val="clear"/>
        </w:rPr>
        <w:t>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The ASU requires the annual financial statements to include consistent categories and greater disaggregation of information in the rate reconciliation, and income taxes paid disaggregated by jurisdiction.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the Company’s annual reporting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Adoption is either with a prospective method or a fully retrospective method of transition. Early adoption is permitted. The Company is currently evaluating the effect that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will have on its consolidated financial statements.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Statement-Reporting Comprehensive Income-Expense Disaggregation Disclosures</w:t>
      </w:r>
      <w:r>
        <w:rPr>
          <w:rFonts w:ascii="Times New Roman" w:hAnsi="Times New Roman"/>
          <w:caps w:val="false"/>
          <w:smallCaps w:val="false"/>
          <w:sz w:val="20"/>
        </w:rPr>
        <w:t xml:space="preserve">: The ASU requires more detailed information about specified categories of expenses included in certain expense captions presented on the face of the income statement.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w:t>
      </w:r>
      <w:r>
        <w:rPr>
          <w:rStyle w:val="Emphasis"/>
          <w:rFonts w:ascii="Times New Roman" w:hAnsi="Times New Roman"/>
          <w:caps w:val="false"/>
          <w:smallCaps w:val="false"/>
          <w:sz w:val="20"/>
        </w:rPr>
        <w:t>1</w:t>
      </w:r>
      <w:r>
        <w:rPr>
          <w:rFonts w:ascii="Times New Roman" w:hAnsi="Times New Roman"/>
          <w:caps w:val="false"/>
          <w:smallCaps w:val="false"/>
          <w:sz w:val="20"/>
        </w:rPr>
        <w:t>) prospectively to financial statements issued for reporting periods after the effective date of this ASU or (</w:t>
      </w:r>
      <w:r>
        <w:rPr>
          <w:rStyle w:val="Emphasis"/>
          <w:rFonts w:ascii="Times New Roman" w:hAnsi="Times New Roman"/>
          <w:caps w:val="false"/>
          <w:smallCaps w:val="false"/>
          <w:sz w:val="20"/>
        </w:rPr>
        <w:t>2</w:t>
      </w:r>
      <w:r>
        <w:rPr>
          <w:rFonts w:ascii="Times New Roman" w:hAnsi="Times New Roman"/>
          <w:caps w:val="false"/>
          <w:smallCaps w:val="false"/>
          <w:sz w:val="20"/>
        </w:rPr>
        <w:t>) retrospectively to all prior periods presented in the financial statements. We are currently evaluating the impact of adopting this ASU on its consolidated financial statements and related disclosures.</w:t>
      </w:r>
    </w:p>
    <w:p>
      <w:pPr>
        <w:pStyle w:val="TextBody"/>
        <w:bidi w:val="0"/>
        <w:spacing w:before="0" w:after="0"/>
        <w:ind w:left="160" w:right="0" w:firstLine="5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caps w:val="false"/>
          <w:smallCaps w:val="false"/>
          <w:sz w:val="20"/>
        </w:rPr>
        <w:t>—</w:t>
      </w:r>
      <w:r>
        <w:rPr>
          <w:rFonts w:ascii="Times New Roman" w:hAnsi="Times New Roman"/>
          <w:b/>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Accounts receivable,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2450"/>
        <w:gridCol w:w="60"/>
        <w:gridCol w:w="288"/>
        <w:gridCol w:w="1366"/>
        <w:gridCol w:w="60"/>
        <w:gridCol w:w="60"/>
        <w:gridCol w:w="280"/>
        <w:gridCol w:w="1329"/>
        <w:gridCol w:w="8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Royalty revenue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6,011</w:t>
            </w:r>
          </w:p>
        </w:tc>
        <w:tc>
          <w:tcPr>
            <w:tcW w:w="80" w:type="dxa"/>
            <w:tcBorders/>
            <w:shd w:fill="FFFFFF" w:val="clear"/>
            <w:vAlign w:val="center"/>
          </w:tcPr>
          <w:p>
            <w:pPr>
              <w:pStyle w:val="TableContents"/>
              <w:bidi w:val="0"/>
              <w:spacing w:before="0" w:after="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accounts receivable</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32,373</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Allowance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accounts receivable, net</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32,011</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Trade accounts receivable consist entirely of amounts owed from the Company’s customers related to product sales. Royalty revenue receivable represents amounts owed related to royalty revenue recognized based on the Company’s sub-licensees’ sales in their respective territories in the periods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For all accounts receivable, the Company recognizes credit losses based on lifetime expected losses to selling, general and </w:t>
      </w:r>
      <w:r>
        <w:rPr>
          <w:rFonts w:ascii="Times New Roman" w:hAnsi="Times New Roman"/>
          <w:caps w:val="false"/>
          <w:smallCaps w:val="false"/>
          <w:sz w:val="20"/>
        </w:rPr>
        <w:t>administrative expense in the condensed consolidated statements of operations. In determining estimated credit losses, the Company evaluates its historical loss rates, current economic conditions and reasonable and supportable forecasts of future economic conditions</w:t>
      </w:r>
      <w:r>
        <w:rPr>
          <w:rFonts w:ascii="Times New Roman" w:hAnsi="Times New Roman"/>
          <w:caps w:val="false"/>
          <w:smallCaps w:val="false"/>
          <w:sz w:val="20"/>
          <w:shd w:fill="FFFFFF" w:val="clear"/>
        </w:rPr>
        <w:t xml:space="preserve">. The Company recorded a recovery to the provision for credit loss of $0.1 million for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xml:space="preserve">. The Company recorded a recovery to the provision for credit loss of $0.4 and $0.1 million for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caps w:val="false"/>
          <w:smallCaps w:val="false"/>
          <w:sz w:val="20"/>
        </w:rPr>
        <w:t>—</w:t>
      </w:r>
      <w:r>
        <w:rPr>
          <w:rFonts w:ascii="Times New Roman" w:hAnsi="Times New Roman"/>
          <w:b/>
          <w:caps w:val="false"/>
          <w:smallCaps w:val="false"/>
          <w:sz w:val="20"/>
        </w:rPr>
        <w:t xml:space="preserve">Prepaid Expenses and Other: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Prepaid expenses and other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743" w:type="dxa"/>
        <w:jc w:val="left"/>
        <w:tblInd w:w="0" w:type="dxa"/>
        <w:tblLayout w:type="fixed"/>
        <w:tblCellMar>
          <w:top w:w="0" w:type="dxa"/>
          <w:left w:w="0" w:type="dxa"/>
          <w:bottom w:w="0" w:type="dxa"/>
          <w:right w:w="0" w:type="dxa"/>
        </w:tblCellMar>
      </w:tblPr>
      <w:tblGrid>
        <w:gridCol w:w="2240"/>
        <w:gridCol w:w="60"/>
        <w:gridCol w:w="338"/>
        <w:gridCol w:w="1316"/>
        <w:gridCol w:w="60"/>
        <w:gridCol w:w="60"/>
        <w:gridCol w:w="329"/>
        <w:gridCol w:w="1280"/>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CRO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Taxes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3,609</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5,867</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CRO services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Insurance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Other current prepaid amounts consist primarily of deposits, signing bonuses, licenses, subscriptions and software, and prefunding of reimbursement claims. Other long-term prepaid amounts consist primarily of funding for</w:t>
      </w:r>
      <w:r>
        <w:rPr>
          <w:rFonts w:ascii="Times New Roman" w:hAnsi="Times New Roman"/>
          <w:caps w:val="false"/>
          <w:smallCaps w:val="false"/>
          <w:sz w:val="20"/>
        </w:rPr>
        <w:t> commercial copay support programs.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caps w:val="false"/>
          <w:smallCaps w:val="false"/>
          <w:sz w:val="20"/>
        </w:rPr>
        <w:t>—</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2011, </w:t>
      </w:r>
      <w:r>
        <w:rPr>
          <w:rFonts w:ascii="Times New Roman" w:hAnsi="Times New Roman"/>
          <w:caps w:val="false"/>
          <w:smallCaps w:val="false"/>
          <w:sz w:val="20"/>
        </w:rPr>
        <w:t xml:space="preserve">the Company entered into a non-cancelable operating lease for office space in Los Angeles, California, which was subsequently amended in </w:t>
      </w:r>
      <w:r>
        <w:rPr>
          <w:rStyle w:val="Emphasis"/>
          <w:rFonts w:ascii="Times New Roman" w:hAnsi="Times New Roman"/>
          <w:caps w:val="false"/>
          <w:smallCaps w:val="false"/>
          <w:sz w:val="20"/>
        </w:rPr>
        <w:t xml:space="preserve">November 2012, December 2013, March 2014, July 2015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2017. </w:t>
      </w:r>
      <w:r>
        <w:rPr>
          <w:rFonts w:ascii="Times New Roman" w:hAnsi="Times New Roman"/>
          <w:caps w:val="false"/>
          <w:smallCaps w:val="false"/>
          <w:sz w:val="20"/>
        </w:rPr>
        <w:t xml:space="preserve">The initial term of the lease was for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and commenced on </w:t>
      </w:r>
      <w:r>
        <w:rPr>
          <w:rStyle w:val="Emphasis"/>
          <w:rFonts w:ascii="Times New Roman" w:hAnsi="Times New Roman"/>
          <w:caps w:val="false"/>
          <w:smallCaps w:val="false"/>
          <w:sz w:val="20"/>
        </w:rPr>
        <w:t xml:space="preserve">December 10, 2011. </w:t>
      </w:r>
      <w:r>
        <w:rPr>
          <w:rFonts w:ascii="Times New Roman" w:hAnsi="Times New Roman"/>
          <w:caps w:val="false"/>
          <w:smallCaps w:val="false"/>
          <w:sz w:val="20"/>
        </w:rPr>
        <w:t xml:space="preserve">As amended, the Company rents approximately 65,656 square feet. The term of the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Company executed an amendment to its office space in Los Angeles, California to surrender certain suites effective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extend the lease term for the remaining 26,700 rentable square feet for an additional five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through </w:t>
      </w:r>
      <w:r>
        <w:rPr>
          <w:rStyle w:val="Emphasis"/>
          <w:rFonts w:ascii="Times New Roman" w:hAnsi="Times New Roman"/>
          <w:caps w:val="false"/>
          <w:smallCaps w:val="false"/>
          <w:sz w:val="20"/>
        </w:rPr>
        <w:t xml:space="preserve">August 31, 2031. </w:t>
      </w:r>
      <w:r>
        <w:rPr>
          <w:rFonts w:ascii="Times New Roman" w:hAnsi="Times New Roman"/>
          <w:caps w:val="false"/>
          <w:smallCaps w:val="false"/>
          <w:sz w:val="20"/>
        </w:rPr>
        <w:t xml:space="preserve">Base rent escalates annually and is abated from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Lease payments also include variable charges for the Company’s proportionate share of building operating expenses and real estate taxes based on a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base year. The Company has the option to renew such lease for an additional five year term. Management determined that the renewal option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certain to occur. The Company accounted for this amendment as a lease modification.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the lease classification as a result of this modification and the Company continues to recognize such a lease as an operating lease. The Company remeasured its ROU assets and operating lease liabilities using an updated incremental borrowing rate. The change in ROU assets and operating lease liabilities related to this lease modification amounted to $4.1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2012, </w:t>
      </w:r>
      <w:r>
        <w:rPr>
          <w:rFonts w:ascii="Times New Roman" w:hAnsi="Times New Roman"/>
          <w:caps w:val="false"/>
          <w:smallCaps w:val="false"/>
          <w:sz w:val="20"/>
        </w:rPr>
        <w:t xml:space="preserve">the Company entered into a long-term lease agreement for office space in South San Francisco, California, which was subsequently amended in </w:t>
      </w:r>
      <w:r>
        <w:rPr>
          <w:rStyle w:val="Emphasis"/>
          <w:rFonts w:ascii="Times New Roman" w:hAnsi="Times New Roman"/>
          <w:caps w:val="false"/>
          <w:smallCaps w:val="false"/>
          <w:sz w:val="20"/>
        </w:rPr>
        <w:t xml:space="preserve">May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2015. </w:t>
      </w:r>
      <w:r>
        <w:rPr>
          <w:rFonts w:ascii="Times New Roman" w:hAnsi="Times New Roman"/>
          <w:caps w:val="false"/>
          <w:smallCaps w:val="false"/>
          <w:sz w:val="20"/>
        </w:rPr>
        <w:t xml:space="preserve">As amended, the Company rents approximately 29,470 square feet. The term of this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with the option to extend for an additional five-year term, and rents payable by the Company increase approximately 3% per year. The Company provided the landlord an automatically renewable stand-by letter of credit in the amount of $1.1 million. The stand-by letter of credit is collateralized by a high-yield savings account, which is classified as restricted cash, current on the accompanying consolidated balance sheets.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Total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was approximately $1.1 million and $3.4 million, respectively. Total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was approximately $1.2 million and $3.7 million, respectively. For purposes of determining straight-line rent expense, the lease term is calculated from the date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takes possession of the facility, including any periods of free rent and any renewal option periods that the Company is reasonably certain of exercising. The Company’s office leases generally have contractually specified minimum rent and annual rent increases that are included in the measurement of the ROU asset and related lease liability. Additionally, under these lease arrangements,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pay directly, or reimburse the lessors, for real estate taxes, insurance, utilities, maintenance and other operating costs. Such amounts are generally variable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the ROU asset and related lease liability but are instead recognized as variable lease expense in selling, general and administrative costs in the condensed consolidated statements of operations when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9065" w:type="dxa"/>
        <w:jc w:val="left"/>
        <w:tblInd w:w="0" w:type="dxa"/>
        <w:tblLayout w:type="fixed"/>
        <w:tblCellMar>
          <w:top w:w="0" w:type="dxa"/>
          <w:left w:w="0" w:type="dxa"/>
          <w:bottom w:w="0" w:type="dxa"/>
          <w:right w:w="0" w:type="dxa"/>
        </w:tblCellMar>
      </w:tblPr>
      <w:tblGrid>
        <w:gridCol w:w="8195"/>
        <w:gridCol w:w="60"/>
        <w:gridCol w:w="125"/>
        <w:gridCol w:w="485"/>
        <w:gridCol w:w="200"/>
      </w:tblGrid>
      <w:tr>
        <w:trPr/>
        <w:tc>
          <w:tcPr>
            <w:tcW w:w="8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cash flow information related to leases for the nine months ended September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leases (in thousands)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4,813</w:t>
            </w:r>
          </w:p>
        </w:tc>
        <w:tc>
          <w:tcPr>
            <w:tcW w:w="20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4,123</w:t>
            </w:r>
          </w:p>
        </w:tc>
        <w:tc>
          <w:tcPr>
            <w:tcW w:w="20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0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Future minimum lease payments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555"/>
        <w:gridCol w:w="60"/>
        <w:gridCol w:w="126"/>
        <w:gridCol w:w="554"/>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 (remaining)</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1,508</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1,913</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1,292</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1,337</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2,335</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9,634</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2019, </w:t>
      </w:r>
      <w:r>
        <w:rPr>
          <w:rFonts w:ascii="Times New Roman" w:hAnsi="Times New Roman"/>
          <w:caps w:val="false"/>
          <w:smallCaps w:val="false"/>
          <w:sz w:val="20"/>
        </w:rPr>
        <w:t xml:space="preserve">the Company entered into a long-term sublease agreement for 12,429 square feet of the office space in Los Angeles, California. The term of the lease ran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rent amounts payable to the Company increased approximately 3% per year. The </w:t>
      </w:r>
      <w:r>
        <w:rPr>
          <w:rStyle w:val="Emphasis"/>
          <w:rFonts w:ascii="Times New Roman" w:hAnsi="Times New Roman"/>
          <w:caps w:val="false"/>
          <w:smallCaps w:val="false"/>
          <w:sz w:val="20"/>
        </w:rPr>
        <w:t xml:space="preserve">February 2019 </w:t>
      </w:r>
      <w:r>
        <w:rPr>
          <w:rFonts w:ascii="Times New Roman" w:hAnsi="Times New Roman"/>
          <w:caps w:val="false"/>
          <w:smallCaps w:val="false"/>
          <w:sz w:val="20"/>
        </w:rPr>
        <w:t xml:space="preserve">sublease was terminated in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As a result, the Company received $0.7 million, which approximated the sublease rental payments on the remaining lease term.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period ended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signed another sublease agreement for the 12,429 square feet of office space with a sublease commencement date of </w:t>
      </w:r>
      <w:r>
        <w:rPr>
          <w:rStyle w:val="Emphasis"/>
          <w:rFonts w:ascii="Times New Roman" w:hAnsi="Times New Roman"/>
          <w:caps w:val="false"/>
          <w:smallCaps w:val="false"/>
          <w:sz w:val="20"/>
        </w:rPr>
        <w:t xml:space="preserve"> April 1,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Company entered into a long-term sublease agreement for 13,916 square feet of the office space in Los Angeles, California, which commenced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term of the lease runs until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the rent amounts payable to the Company increase approximately 3% per year. The Company has recorded sublease income in other income (expenses) in the condensed consolidated statements of operations since </w:t>
      </w:r>
      <w:r>
        <w:rPr>
          <w:rStyle w:val="Emphasis"/>
          <w:rFonts w:ascii="Times New Roman" w:hAnsi="Times New Roman"/>
          <w:caps w:val="false"/>
          <w:smallCaps w:val="false"/>
          <w:sz w:val="20"/>
        </w:rPr>
        <w:t>November 2023.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recorded operatin</w:t>
      </w:r>
      <w:r>
        <w:rPr>
          <w:rFonts w:ascii="Times New Roman" w:hAnsi="Times New Roman"/>
          <w:caps w:val="false"/>
          <w:smallCaps w:val="false"/>
          <w:sz w:val="20"/>
          <w:shd w:fill="FFFFFF" w:val="clear"/>
        </w:rPr>
        <w:t xml:space="preserve">g sublease income of $0.2 million for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 September 30, 2025</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and approximately $0.7 million for each of the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 September 30, 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respectively, in other income (expenses) in the co</w:t>
      </w:r>
      <w:r>
        <w:rPr>
          <w:rFonts w:ascii="Times New Roman" w:hAnsi="Times New Roman"/>
          <w:caps w:val="false"/>
          <w:smallCaps w:val="false"/>
          <w:sz w:val="20"/>
        </w:rPr>
        <w:t>ndensed consolidated statements of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f</w:t>
      </w:r>
      <w:r>
        <w:rPr>
          <w:rFonts w:ascii="Times New Roman" w:hAnsi="Times New Roman"/>
          <w:caps w:val="false"/>
          <w:smallCaps w:val="false"/>
          <w:sz w:val="20"/>
          <w:shd w:fill="FFFFFF" w:val="clear"/>
        </w:rPr>
        <w:t>uture minimum lease payments to be received as</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455"/>
        <w:gridCol w:w="60"/>
        <w:gridCol w:w="184"/>
        <w:gridCol w:w="496"/>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caps w:val="false"/>
          <w:smallCaps w:val="false"/>
          <w:sz w:val="20"/>
        </w:rPr>
        <w:t>—</w:t>
      </w:r>
      <w:r>
        <w:rPr>
          <w:rFonts w:ascii="Times New Roman" w:hAnsi="Times New Roman"/>
          <w:b/>
          <w:caps w:val="false"/>
          <w:smallCaps w:val="false"/>
          <w:sz w:val="20"/>
        </w:rPr>
        <w:t xml:space="preserve">Property and Equipment,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2585"/>
        <w:gridCol w:w="60"/>
        <w:gridCol w:w="308"/>
        <w:gridCol w:w="1346"/>
        <w:gridCol w:w="80"/>
        <w:gridCol w:w="60"/>
        <w:gridCol w:w="299"/>
        <w:gridCol w:w="1310"/>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Telephone equipment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FFFF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2,359</w:t>
            </w:r>
          </w:p>
        </w:tc>
        <w:tc>
          <w:tcPr>
            <w:tcW w:w="80" w:type="dxa"/>
            <w:tcBorders/>
            <w:shd w:fill="FFFFFF" w:val="clear"/>
            <w:vAlign w:val="center"/>
          </w:tcPr>
          <w:p>
            <w:pPr>
              <w:pStyle w:val="TableContents"/>
              <w:bidi w:val="0"/>
              <w:spacing w:before="0" w:after="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(7,868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rPr>
        <w:t xml:space="preserve">, the Company incurred depreciation expense </w:t>
      </w:r>
      <w:r>
        <w:rPr>
          <w:rFonts w:ascii="Times New Roman" w:hAnsi="Times New Roman"/>
          <w:caps w:val="false"/>
          <w:smallCaps w:val="false"/>
          <w:sz w:val="20"/>
          <w:shd w:fill="FFFFFF" w:val="clear"/>
        </w:rPr>
        <w:t>of $0.1 million and $0.3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caps w:val="false"/>
          <w:smallCaps w:val="false"/>
          <w:sz w:val="20"/>
        </w:rPr>
        <w:t>—</w:t>
      </w:r>
      <w:r>
        <w:rPr>
          <w:rFonts w:ascii="Times New Roman" w:hAnsi="Times New Roman"/>
          <w:b/>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2600"/>
        <w:gridCol w:w="60"/>
        <w:gridCol w:w="251"/>
        <w:gridCol w:w="1403"/>
        <w:gridCol w:w="80"/>
        <w:gridCol w:w="60"/>
        <w:gridCol w:w="243"/>
        <w:gridCol w:w="1366"/>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and in-licensed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51,131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For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nine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September 30,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rPr>
        <w:t>, the Company incurred amortization expe</w:t>
      </w:r>
      <w:r>
        <w:rPr>
          <w:rFonts w:ascii="Times New Roman" w:hAnsi="Times New Roman"/>
          <w:caps w:val="false"/>
          <w:smallCaps w:val="false"/>
          <w:sz w:val="20"/>
          <w:shd w:fill="FFFFFF" w:val="clear"/>
        </w:rPr>
        <w:t>nse of </w:t>
      </w:r>
      <w:r>
        <w:rPr>
          <w:rFonts w:ascii="Times New Roman" w:hAnsi="Times New Roman"/>
          <w:caps w:val="false"/>
          <w:smallCaps w:val="false"/>
          <w:sz w:val="20"/>
        </w:rPr>
        <w:t>$2.4</w:t>
      </w:r>
      <w:r>
        <w:rPr>
          <w:rFonts w:ascii="Times New Roman" w:hAnsi="Times New Roman"/>
          <w:caps w:val="false"/>
          <w:smallCaps w:val="false"/>
          <w:sz w:val="20"/>
          <w:shd w:fill="FFFFFF" w:val="clear"/>
        </w:rPr>
        <w:t> million and $7.3 million, respectively.</w:t>
      </w:r>
      <w:r>
        <w:rPr>
          <w:rFonts w:ascii="Times New Roman" w:hAnsi="Times New Roman"/>
          <w:caps w:val="false"/>
          <w:smallCaps w:val="false"/>
          <w:sz w:val="20"/>
        </w:rPr>
        <w:t xml:space="preserve"> The estimated remaining useful life of the intangible assets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is 4.5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Company reached a commercial milestone by achieving aggregate worldwide net sales of $250.0 million in calendar year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resulting in a payment to Pfizer of $12.5 million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March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The Company capitalized the milestones as intangible assets and is amortizing the assets to cost of sales on a straight-line basis over the estimated useful life of the licensed patent through </w:t>
      </w:r>
      <w:r>
        <w:rPr>
          <w:rStyle w:val="Emphasis"/>
          <w:rFonts w:ascii="Times New Roman" w:hAnsi="Times New Roman"/>
          <w:caps w:val="false"/>
          <w:smallCaps w:val="false"/>
          <w:sz w:val="20"/>
          <w:shd w:fill="FFFFFF" w:val="clear"/>
        </w:rPr>
        <w:t>2030.</w:t>
      </w:r>
      <w:r>
        <w:rPr>
          <w:rFonts w:ascii="Times New Roman" w:hAnsi="Times New Roman"/>
          <w:caps w:val="false"/>
          <w:smallCaps w:val="false"/>
          <w:sz w:val="20"/>
          <w:shd w:fill="FFFFFF" w:val="clear"/>
        </w:rPr>
        <w:t xml:space="preserve"> The Company recorded amortization expense related to its intangible assets of approximately </w:t>
      </w:r>
      <w:r>
        <w:rPr>
          <w:rFonts w:ascii="Times New Roman" w:hAnsi="Times New Roman"/>
          <w:caps w:val="false"/>
          <w:smallCaps w:val="false"/>
          <w:sz w:val="20"/>
        </w:rPr>
        <w:t>$2.4</w:t>
      </w:r>
      <w:r>
        <w:rPr>
          <w:rFonts w:ascii="Times New Roman" w:hAnsi="Times New Roman"/>
          <w:caps w:val="false"/>
          <w:smallCaps w:val="false"/>
          <w:sz w:val="20"/>
          <w:shd w:fill="FFFFFF" w:val="clear"/>
        </w:rPr>
        <w:t xml:space="preserve"> million and </w:t>
      </w:r>
      <w:r>
        <w:rPr>
          <w:rFonts w:ascii="Times New Roman" w:hAnsi="Times New Roman"/>
          <w:caps w:val="false"/>
          <w:smallCaps w:val="false"/>
          <w:sz w:val="20"/>
        </w:rPr>
        <w:t>$7.3</w:t>
      </w:r>
      <w:r>
        <w:rPr>
          <w:rFonts w:ascii="Times New Roman" w:hAnsi="Times New Roman"/>
          <w:caps w:val="false"/>
          <w:smallCaps w:val="false"/>
          <w:sz w:val="20"/>
          <w:shd w:fill="FFFFFF" w:val="clear"/>
        </w:rPr>
        <w:t>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xml:space="preserve">, respectively.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estimated future amortization expense related to the Company’s intangible assets is approximately </w:t>
      </w:r>
      <w:r>
        <w:rPr>
          <w:rFonts w:ascii="Times New Roman" w:hAnsi="Times New Roman"/>
          <w:caps w:val="false"/>
          <w:smallCaps w:val="false"/>
          <w:sz w:val="20"/>
        </w:rPr>
        <w:t>$2.4</w:t>
      </w:r>
      <w:r>
        <w:rPr>
          <w:rFonts w:ascii="Times New Roman" w:hAnsi="Times New Roman"/>
          <w:caps w:val="false"/>
          <w:smallCaps w:val="false"/>
          <w:sz w:val="20"/>
          <w:shd w:fill="FFFFFF" w:val="clear"/>
        </w:rPr>
        <w:t xml:space="preserve"> million for the remainder of </w:t>
      </w:r>
      <w:r>
        <w:rPr>
          <w:rStyle w:val="Emphasis"/>
          <w:rFonts w:ascii="Times New Roman" w:hAnsi="Times New Roman"/>
          <w:caps w:val="false"/>
          <w:smallCaps w:val="false"/>
          <w:sz w:val="20"/>
        </w:rPr>
        <w:t>2025</w:t>
      </w:r>
      <w:r>
        <w:rPr>
          <w:rFonts w:ascii="Times New Roman" w:hAnsi="Times New Roman"/>
          <w:caps w:val="false"/>
          <w:smallCaps w:val="false"/>
          <w:sz w:val="20"/>
          <w:shd w:fill="FFFFFF" w:val="clear"/>
        </w:rPr>
        <w:t> and </w:t>
      </w:r>
      <w:r>
        <w:rPr>
          <w:rFonts w:ascii="Times New Roman" w:hAnsi="Times New Roman"/>
          <w:caps w:val="false"/>
          <w:smallCaps w:val="false"/>
          <w:sz w:val="20"/>
        </w:rPr>
        <w:t>$9.7</w:t>
      </w:r>
      <w:r>
        <w:rPr>
          <w:rFonts w:ascii="Times New Roman" w:hAnsi="Times New Roman"/>
          <w:caps w:val="false"/>
          <w:smallCaps w:val="false"/>
          <w:sz w:val="20"/>
          <w:shd w:fill="FFFFFF" w:val="clear"/>
        </w:rPr>
        <w:t xml:space="preserve"> million for each year starting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through </w:t>
      </w:r>
      <w:r>
        <w:rPr>
          <w:rStyle w:val="Emphasis"/>
          <w:rFonts w:ascii="Times New Roman" w:hAnsi="Times New Roman"/>
          <w:caps w:val="false"/>
          <w:smallCaps w:val="false"/>
          <w:sz w:val="20"/>
          <w:shd w:fill="FFFFFF" w:val="clear"/>
        </w:rPr>
        <w:t>2029,</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$2.4</w:t>
      </w:r>
      <w:r>
        <w:rPr>
          <w:rFonts w:ascii="Times New Roman" w:hAnsi="Times New Roman"/>
          <w:caps w:val="false"/>
          <w:smallCaps w:val="false"/>
          <w:sz w:val="20"/>
          <w:shd w:fill="FFFFFF" w:val="clear"/>
        </w:rPr>
        <w:t xml:space="preserve"> million for </w:t>
      </w:r>
      <w:r>
        <w:rPr>
          <w:rStyle w:val="Emphasis"/>
          <w:rFonts w:ascii="Times New Roman" w:hAnsi="Times New Roman"/>
          <w:caps w:val="false"/>
          <w:smallCaps w:val="false"/>
          <w:sz w:val="20"/>
          <w:shd w:fill="FFFFFF" w:val="clear"/>
        </w:rPr>
        <w:t>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w:t>
      </w:r>
      <w:r>
        <w:rPr>
          <w:rFonts w:ascii="Times New Roman" w:hAnsi="Times New Roman"/>
          <w:b/>
          <w:caps w:val="false"/>
          <w:smallCaps w:val="false"/>
          <w:sz w:val="20"/>
        </w:rPr>
        <w:t xml:space="preserve">Accrued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433" w:type="dxa"/>
        <w:jc w:val="left"/>
        <w:tblInd w:w="0" w:type="dxa"/>
        <w:tblLayout w:type="fixed"/>
        <w:tblCellMar>
          <w:top w:w="0" w:type="dxa"/>
          <w:left w:w="0" w:type="dxa"/>
          <w:bottom w:w="0" w:type="dxa"/>
          <w:right w:w="0" w:type="dxa"/>
        </w:tblCellMar>
      </w:tblPr>
      <w:tblGrid>
        <w:gridCol w:w="2930"/>
        <w:gridCol w:w="60"/>
        <w:gridCol w:w="288"/>
        <w:gridCol w:w="1366"/>
        <w:gridCol w:w="60"/>
        <w:gridCol w:w="60"/>
        <w:gridCol w:w="280"/>
        <w:gridCol w:w="1329"/>
        <w:gridCol w:w="6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CRO services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variable consideration</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10,829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bonus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7,976</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4,368</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other clinical development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legal fees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manufacturing costs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36,898</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other liabilities</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variable consideration represents estimates of adjustments to product revenue, net for which reserves are established. Accrued royalties represent royalties incurred in connection with the Company’s license agreement with Pfizer. Accrued CRO services, accrued other clinical development expenses, and accrued legal fees represent the Company’s estimates of such costs and are recognized as incurred. Accrued compensation includes severance, commissions and vacation.</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sz w:val="20"/>
        </w:rPr>
        <w:t xml:space="preserve">Note </w:t>
      </w:r>
      <w:r>
        <w:rPr>
          <w:rStyle w:val="Emphasis"/>
          <w:rFonts w:ascii="Times New Roman" w:hAnsi="Times New Roman"/>
          <w:b/>
          <w:sz w:val="20"/>
        </w:rPr>
        <w:t>9</w:t>
      </w:r>
      <w:r>
        <w:rPr>
          <w:rFonts w:ascii="Times New Roman" w:hAnsi="Times New Roman"/>
          <w:sz w:val="20"/>
        </w:rPr>
        <w:t>—</w:t>
      </w:r>
      <w:r>
        <w:rPr>
          <w:rFonts w:ascii="Times New Roman" w:hAnsi="Times New Roman"/>
          <w:b/>
          <w:sz w:val="20"/>
        </w:rPr>
        <w:t xml:space="preserve">Debt: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Long term debt consisted of the following (in thousands):</w:t>
      </w:r>
    </w:p>
    <w:p>
      <w:pPr>
        <w:pStyle w:val="TextBody"/>
        <w:bidi w:val="0"/>
        <w:spacing w:before="0" w:after="0"/>
        <w:ind w:left="0" w:right="0" w:hanging="0"/>
        <w:jc w:val="left"/>
        <w:rPr/>
      </w:pPr>
      <w:r>
        <w:rPr/>
        <w:t> </w:t>
      </w:r>
    </w:p>
    <w:tbl>
      <w:tblPr>
        <w:tblW w:w="7249" w:type="dxa"/>
        <w:jc w:val="left"/>
        <w:tblInd w:w="0" w:type="dxa"/>
        <w:tblLayout w:type="fixed"/>
        <w:tblCellMar>
          <w:top w:w="0" w:type="dxa"/>
          <w:left w:w="0" w:type="dxa"/>
          <w:bottom w:w="0" w:type="dxa"/>
          <w:right w:w="0" w:type="dxa"/>
        </w:tblCellMar>
      </w:tblPr>
      <w:tblGrid>
        <w:gridCol w:w="4265"/>
        <w:gridCol w:w="60"/>
        <w:gridCol w:w="251"/>
        <w:gridCol w:w="1403"/>
        <w:gridCol w:w="80"/>
        <w:gridCol w:w="119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 Date</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 inclusive of $2.0 million exit payment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102,000</w:t>
            </w:r>
          </w:p>
        </w:tc>
        <w:tc>
          <w:tcPr>
            <w:tcW w:w="80"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23, 2026</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unamortized debt issuance costs and discounts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283"/>
              <w:ind w:left="0" w:right="0" w:hanging="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pPr>
            <w:r>
              <w:rPr/>
              <w:t> </w:t>
            </w:r>
          </w:p>
        </w:tc>
        <w:tc>
          <w:tcPr>
            <w:tcW w:w="14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0"/>
              <w:ind w:left="0" w:right="0" w:hanging="0"/>
              <w:jc w:val="left"/>
              <w:rPr/>
            </w:pPr>
            <w:r>
              <w:rPr>
                <w:rStyle w:val="Emphasis"/>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debt repayment</w:t>
            </w:r>
          </w:p>
        </w:tc>
        <w:tc>
          <w:tcPr>
            <w:tcW w:w="60" w:type="dxa"/>
            <w:tcBorders/>
            <w:shd w:fill="FFFF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(67,993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9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sz w:val="20"/>
        </w:rPr>
      </w:pPr>
      <w:r>
        <w:rPr>
          <w:rFonts w:ascii="Times New Roman" w:hAnsi="Times New Roman"/>
          <w:i/>
          <w:sz w:val="20"/>
        </w:rPr>
        <w:t>Athyrium Note Purchase Agreement: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issued senior notes for an aggregate principal amount of $100.0 million pursuant to a note purchase agreement dated </w:t>
      </w:r>
      <w:r>
        <w:rPr>
          <w:rStyle w:val="Emphasis"/>
          <w:rFonts w:ascii="Times New Roman" w:hAnsi="Times New Roman"/>
          <w:caps w:val="false"/>
          <w:smallCaps w:val="false"/>
          <w:sz w:val="20"/>
        </w:rPr>
        <w:t>July 23, 2021 </w:t>
      </w:r>
      <w:r>
        <w:rPr>
          <w:rFonts w:ascii="Times New Roman" w:hAnsi="Times New Roman"/>
          <w:caps w:val="false"/>
          <w:smallCaps w:val="false"/>
          <w:sz w:val="20"/>
        </w:rPr>
        <w:t xml:space="preserve">by the Company, and its subsidiary, and Athyrium, as Administrative Agent, and certain other investor parties (the “Note Purchase Agreement”), with an initial maturity date of </w:t>
      </w:r>
      <w:r>
        <w:rPr>
          <w:rStyle w:val="Emphasis"/>
          <w:rFonts w:ascii="Times New Roman" w:hAnsi="Times New Roman"/>
          <w:caps w:val="false"/>
          <w:smallCaps w:val="false"/>
          <w:sz w:val="20"/>
        </w:rPr>
        <w:t>July 23, 2026 (</w:t>
      </w:r>
      <w:r>
        <w:rPr>
          <w:rFonts w:ascii="Times New Roman" w:hAnsi="Times New Roman"/>
          <w:caps w:val="false"/>
          <w:smallCaps w:val="false"/>
          <w:sz w:val="20"/>
        </w:rPr>
        <w:t>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the Company’s outstanding indebtedness, including the applicable exit and prepayment fees owed to lenders under its prior credit facility with Oxford. The Athyrium Notes are secured by substantially all of the Company’s assets. The Company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Note Purchase Agreement dated as of </w:t>
      </w:r>
      <w:r>
        <w:rPr>
          <w:rStyle w:val="Emphasis"/>
          <w:rFonts w:ascii="Times New Roman" w:hAnsi="Times New Roman"/>
          <w:caps w:val="false"/>
          <w:smallCaps w:val="false"/>
          <w:sz w:val="20"/>
        </w:rPr>
        <w:t xml:space="preserve"> September 16,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Following the effectiveness of the Third Amendment, the Athyrium Notes bear interest at an annual rate equal to the sum of (a)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percent (8.00%) plus (b) the lesser of (i) the sum of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term SOFR for an interest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plus (y) 0.26161% (26.161 basis points) and (ii)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-half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percent (3.50%) per annum. Interest is payable quarterly on the last business day of </w:t>
      </w:r>
      <w:r>
        <w:rPr>
          <w:rStyle w:val="Emphasis"/>
          <w:rFonts w:ascii="Times New Roman" w:hAnsi="Times New Roman"/>
          <w:caps w:val="false"/>
          <w:smallCaps w:val="false"/>
          <w:sz w:val="20"/>
        </w:rPr>
        <w:t xml:space="preserve">March, June, September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each year.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effective interest rate for the loan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prepay the outstanding principal balance of the notes, in whole or in part, without premium or penalty.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Athyrium Notes include affirmative and negative covenants applicable to the Company. The affirmative covenants include, among others, covenants requiring the Company to maintain its legal existence and governmental approvals, deliver certain financial reports, maintain insurance coverage, and satisfy certain requirements regarding deposit accounts. The negative covenants include, among others, restrictions on the Company’s transferring collateral, incurring additional indebtedness, engaging in mergers or acquisitions, paying dividends or making other distributions, making investments, creating liens, selling assets and suffering a change in control, in each case subject to certain exceptions. The Company is also required to maintain minimum cash balances and achieve certain minimum product revenue targets, measured as of the last day of each fiscal quarter on a trailing year-to-date basis.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 was in compliance with such covenants.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sz w:val="20"/>
        </w:rPr>
        <w:t>As of </w:t>
      </w:r>
      <w:r>
        <w:rPr>
          <w:rStyle w:val="Emphasis"/>
          <w:rFonts w:ascii="Times New Roman" w:hAnsi="Times New Roman"/>
          <w:sz w:val="20"/>
        </w:rPr>
        <w:t xml:space="preserve"> September 30, 2025</w:t>
      </w:r>
      <w:r>
        <w:rPr>
          <w:rFonts w:ascii="Times New Roman" w:hAnsi="Times New Roman"/>
          <w:sz w:val="20"/>
        </w:rPr>
        <w:t xml:space="preserve">, the principal balance outstanding under the </w:t>
      </w:r>
      <w:r>
        <w:rPr>
          <w:rFonts w:ascii="Times New Roman" w:hAnsi="Times New Roman"/>
          <w:sz w:val="20"/>
          <w:shd w:fill="FFFFFF" w:val="clear"/>
        </w:rPr>
        <w:t>Athyrium Notes was $33.3 million and exit fees were $0.7 million, representing all of the Company’s debt.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future minimum principal and exit payments under the Athyrium Notes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are as follows (in thousands):</w:t>
      </w:r>
    </w:p>
    <w:p>
      <w:pPr>
        <w:pStyle w:val="TextBody"/>
        <w:bidi w:val="0"/>
        <w:spacing w:before="0" w:after="0"/>
        <w:ind w:left="0" w:right="0" w:hanging="0"/>
        <w:jc w:val="left"/>
        <w:rPr/>
      </w:pPr>
      <w:r>
        <w:rPr/>
        <w:t> </w:t>
      </w:r>
    </w:p>
    <w:tbl>
      <w:tblPr>
        <w:tblW w:w="1290" w:type="dxa"/>
        <w:jc w:val="left"/>
        <w:tblInd w:w="0" w:type="dxa"/>
        <w:tblLayout w:type="fixed"/>
        <w:tblCellMar>
          <w:top w:w="0" w:type="dxa"/>
          <w:left w:w="0" w:type="dxa"/>
          <w:bottom w:w="0" w:type="dxa"/>
          <w:right w:w="0" w:type="dxa"/>
        </w:tblCellMar>
      </w:tblPr>
      <w:tblGrid>
        <w:gridCol w:w="455"/>
        <w:gridCol w:w="60"/>
        <w:gridCol w:w="125"/>
        <w:gridCol w:w="590"/>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11,332</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22,675</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Debt Issuance Costs and Discounts:</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Debt issuance costs and discounts consist of the following (in thousands):</w:t>
      </w:r>
    </w:p>
    <w:p>
      <w:pPr>
        <w:pStyle w:val="TextBody"/>
        <w:bidi w:val="0"/>
        <w:spacing w:before="0" w:after="0"/>
        <w:ind w:left="0" w:right="0" w:hanging="0"/>
        <w:jc w:val="left"/>
        <w:rPr/>
      </w:pPr>
      <w:r>
        <w:rPr/>
        <w:t> </w:t>
      </w:r>
    </w:p>
    <w:tbl>
      <w:tblPr>
        <w:tblW w:w="7763" w:type="dxa"/>
        <w:jc w:val="left"/>
        <w:tblInd w:w="0" w:type="dxa"/>
        <w:tblLayout w:type="fixed"/>
        <w:tblCellMar>
          <w:top w:w="0" w:type="dxa"/>
          <w:left w:w="0" w:type="dxa"/>
          <w:bottom w:w="0" w:type="dxa"/>
          <w:right w:w="0" w:type="dxa"/>
        </w:tblCellMar>
      </w:tblPr>
      <w:tblGrid>
        <w:gridCol w:w="4220"/>
        <w:gridCol w:w="60"/>
        <w:gridCol w:w="308"/>
        <w:gridCol w:w="1346"/>
        <w:gridCol w:w="80"/>
        <w:gridCol w:w="60"/>
        <w:gridCol w:w="299"/>
        <w:gridCol w:w="1310"/>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Debt issuance costs and discounts (Athyrium Notes)</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 in current portion of debt</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Debt issuance costs and discounts are financing costs related to the Company’s outstanding debt. Amortization of debt issuance costs is expensed using the effective interest method and is included in interest expense in the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 recorded approxi</w:t>
      </w:r>
      <w:r>
        <w:rPr>
          <w:rFonts w:ascii="Times New Roman" w:hAnsi="Times New Roman"/>
          <w:caps w:val="false"/>
          <w:smallCaps w:val="false"/>
          <w:sz w:val="20"/>
          <w:shd w:fill="FFFFFF" w:val="clear"/>
        </w:rPr>
        <w:t>mately $0.1 million and $0.5 million of interest expense,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shd w:fill="FFFFFF" w:val="clear"/>
        </w:rPr>
        <w:t>, the Company recorded approximately $0.2 million and $0.7 million of interest expense,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caps w:val="false"/>
          <w:smallCaps w:val="false"/>
          <w:sz w:val="20"/>
        </w:rPr>
        <w:t>—</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issued 55,882 and 64,118 shares of common stock upon exercise of stock options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Company issued 1,222,558 and 1,356,443 shares of common stock upon vesting of RSUs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160" w:right="0" w:firstLine="540"/>
        <w:jc w:val="left"/>
        <w:rPr>
          <w:caps w:val="false"/>
          <w:smallCaps w:val="false"/>
          <w:color w:val="000000"/>
        </w:rPr>
      </w:pPr>
      <w:r>
        <w:rPr>
          <w:caps w:val="false"/>
          <w:smallCaps w:val="false"/>
          <w:color w:val="000000"/>
        </w:rPr>
        <w:t> </w:t>
      </w:r>
    </w:p>
    <w:p>
      <w:pPr>
        <w:pStyle w:val="TextBody"/>
        <w:bidi w:val="0"/>
        <w:spacing w:before="0" w:after="0"/>
        <w:ind w:left="0" w:right="0" w:firstLine="540"/>
        <w:jc w:val="left"/>
        <w:rPr>
          <w:rFonts w:ascii="Times New Roman" w:hAnsi="Times New Roman"/>
          <w:b/>
          <w:sz w:val="20"/>
        </w:rPr>
      </w:pPr>
      <w:r>
        <w:rPr>
          <w:rFonts w:ascii="Times New Roman" w:hAnsi="Times New Roman"/>
          <w:b/>
          <w:sz w:val="20"/>
        </w:rPr>
        <w:t xml:space="preserve">Authorized Shares: </w:t>
      </w:r>
    </w:p>
    <w:p>
      <w:pPr>
        <w:pStyle w:val="TextBody"/>
        <w:bidi w:val="0"/>
        <w:spacing w:before="0" w:after="0"/>
        <w:ind w:left="16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100,000,000 shares of stock authorized for issuance, all of which are common stock, par value $0.0001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2011, </w:t>
      </w:r>
      <w:r>
        <w:rPr>
          <w:rFonts w:ascii="Times New Roman" w:hAnsi="Times New Roman"/>
          <w:caps w:val="false"/>
          <w:smallCaps w:val="false"/>
          <w:sz w:val="20"/>
        </w:rPr>
        <w:t>the Company issued an anti-dilutive warrant to Alan H. Auerbach, the Company’s founder and Chief Executive Officer. The warrant was issued to provide Mr. Auerbach with the right to maintain ownership of at least 20% of the Company’s common stock in the event that the Company raised capital through the sale of its securities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connection with the closing of a public offering in </w:t>
      </w:r>
      <w:r>
        <w:rPr>
          <w:rStyle w:val="Emphasis"/>
          <w:rFonts w:ascii="Times New Roman" w:hAnsi="Times New Roman"/>
          <w:caps w:val="false"/>
          <w:smallCaps w:val="false"/>
          <w:sz w:val="20"/>
        </w:rPr>
        <w:t xml:space="preserve">October 2012, </w:t>
      </w:r>
      <w:r>
        <w:rPr>
          <w:rFonts w:ascii="Times New Roman" w:hAnsi="Times New Roman"/>
          <w:caps w:val="false"/>
          <w:smallCaps w:val="false"/>
          <w:sz w:val="20"/>
        </w:rPr>
        <w:t xml:space="preserve">the exercise price and number of shares underlying the warrant issued to Mr. Auerbach were established and, accordingly, the final value of the warrant became fixed. Pursuant to the terms of the warrant, as amended in </w:t>
      </w:r>
      <w:r>
        <w:rPr>
          <w:rStyle w:val="Emphasis"/>
          <w:rFonts w:ascii="Times New Roman" w:hAnsi="Times New Roman"/>
          <w:caps w:val="false"/>
          <w:smallCaps w:val="false"/>
          <w:sz w:val="20"/>
        </w:rPr>
        <w:t xml:space="preserve">June 2021, </w:t>
      </w:r>
      <w:r>
        <w:rPr>
          <w:rFonts w:ascii="Times New Roman" w:hAnsi="Times New Roman"/>
          <w:caps w:val="false"/>
          <w:smallCaps w:val="false"/>
          <w:sz w:val="20"/>
        </w:rPr>
        <w:t xml:space="preserve">Mr. Auerbach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the warrant to acquire 2,116,250 shares of the Company’s common stock at $16 per share until </w:t>
      </w:r>
      <w:r>
        <w:rPr>
          <w:rStyle w:val="Emphasis"/>
          <w:rFonts w:ascii="Times New Roman" w:hAnsi="Times New Roman"/>
          <w:caps w:val="false"/>
          <w:smallCaps w:val="false"/>
          <w:sz w:val="20"/>
        </w:rPr>
        <w:t>October 4, 2026.</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 xml:space="preserve">Stock Options and Restricted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as amended, was adopted by the Company’s Board of Directors on </w:t>
      </w:r>
      <w:r>
        <w:rPr>
          <w:rStyle w:val="Emphasis"/>
          <w:rFonts w:ascii="Times New Roman" w:hAnsi="Times New Roman"/>
          <w:caps w:val="false"/>
          <w:smallCaps w:val="false"/>
          <w:sz w:val="20"/>
        </w:rPr>
        <w:t xml:space="preserve">September 15, 2011. </w:t>
      </w:r>
      <w:r>
        <w:rPr>
          <w:rFonts w:ascii="Times New Roman" w:hAnsi="Times New Roman"/>
          <w:caps w:val="false"/>
          <w:smallCaps w:val="false"/>
          <w:sz w:val="20"/>
        </w:rPr>
        <w:t xml:space="preserve">Pursuant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incentive stock options and nonqualified stock options, as well as other forms of equity-based compensation. Incentive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only to employees, while consultants, employees, officers, and directors are eligible for the grant of nonqualified options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maximum term of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is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years and the awards generally vest over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period. The exercise price of incentive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must be at least equal to the fair value of such shares on the date of grant</w:t>
      </w:r>
      <w:r>
        <w:rPr>
          <w:rFonts w:ascii="Times New Roman" w:hAnsi="Times New Roman"/>
          <w:caps w:val="false"/>
          <w:smallCaps w:val="false"/>
          <w:sz w:val="20"/>
          <w:shd w:fill="FFFFFF" w:val="clear"/>
        </w:rPr>
        <w:t xml:space="preserve">. On </w:t>
      </w:r>
      <w:r>
        <w:rPr>
          <w:rStyle w:val="Emphasis"/>
          <w:rFonts w:ascii="Times New Roman" w:hAnsi="Times New Roman"/>
          <w:caps w:val="false"/>
          <w:smallCaps w:val="false"/>
          <w:sz w:val="20"/>
          <w:shd w:fill="FFFFFF" w:val="clear"/>
        </w:rPr>
        <w:t xml:space="preserve">June 18, 2024, </w:t>
      </w:r>
      <w:r>
        <w:rPr>
          <w:rFonts w:ascii="Times New Roman" w:hAnsi="Times New Roman"/>
          <w:caps w:val="false"/>
          <w:smallCaps w:val="false"/>
          <w:sz w:val="20"/>
          <w:shd w:fill="FFFFFF" w:val="clear"/>
        </w:rPr>
        <w:t>the stockholders of the Company approved an amendment to the Company</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s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increasing the number of authorized shares of the Company’s common stock, par value $0.0001 per share,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become issuable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by 3,000,000 shares and extending the period during which incentive stock options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granted. As</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 total of 17,529,412 shares of the Company’s common stock have been reserved for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All of the options awarded by the Company have been “plain vanilla options”</w:t>
      </w:r>
      <w:r>
        <w:rPr>
          <w:rFonts w:ascii="Times New Roman" w:hAnsi="Times New Roman"/>
          <w:caps w:val="false"/>
          <w:smallCaps w:val="false"/>
          <w:sz w:val="20"/>
          <w:shd w:fill="FFFFFF" w:val="clear"/>
        </w:rPr>
        <w:t xml:space="preserve"> as determined by the SEC Staff Accounting Bulletin </w:t>
      </w:r>
      <w:r>
        <w:rPr>
          <w:rStyle w:val="Emphasis"/>
          <w:rFonts w:ascii="Times New Roman" w:hAnsi="Times New Roman"/>
          <w:caps w:val="false"/>
          <w:smallCaps w:val="false"/>
          <w:sz w:val="20"/>
          <w:shd w:fill="FFFFFF" w:val="clear"/>
        </w:rPr>
        <w:t>107</w:t>
      </w:r>
      <w:r>
        <w:rPr>
          <w:rFonts w:ascii="Times New Roman" w:hAnsi="Times New Roman"/>
          <w:caps w:val="false"/>
          <w:smallCaps w:val="false"/>
          <w:sz w:val="20"/>
          <w:shd w:fill="FFFFFF" w:val="clear"/>
        </w:rPr>
        <w:t xml:space="preserve"> - </w:t>
      </w:r>
      <w:r>
        <w:rPr>
          <w:rFonts w:ascii="Times New Roman" w:hAnsi="Times New Roman"/>
          <w:i/>
          <w:caps w:val="false"/>
          <w:smallCaps w:val="false"/>
          <w:sz w:val="20"/>
          <w:shd w:fill="FFFFFF" w:val="clear"/>
        </w:rPr>
        <w:t xml:space="preserve">Share Based Payment. </w:t>
      </w: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4,518,398 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and 3,310,878 shares of</w:t>
      </w:r>
      <w:r>
        <w:rPr>
          <w:rFonts w:ascii="Times New Roman" w:hAnsi="Times New Roman"/>
          <w:caps w:val="false"/>
          <w:smallCaps w:val="false"/>
          <w:sz w:val="20"/>
        </w:rPr>
        <w:t xml:space="preserve"> the Company’s common stock are available for future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fair value of options granted to employees and nonemployees was estimated using the Black-Scholes Option Pricing Method (see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 with the following weighted-average assumptions used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775"/>
        <w:gridCol w:w="60"/>
        <w:gridCol w:w="60"/>
        <w:gridCol w:w="380"/>
        <w:gridCol w:w="185"/>
        <w:gridCol w:w="60"/>
        <w:gridCol w:w="60"/>
        <w:gridCol w:w="380"/>
        <w:gridCol w:w="185"/>
      </w:tblGrid>
      <w:tr>
        <w:trPr/>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life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Plan, as amended, was adopted by the Comp</w:t>
      </w:r>
      <w:r>
        <w:rPr>
          <w:rFonts w:ascii="Times New Roman" w:hAnsi="Times New Roman"/>
          <w:caps w:val="false"/>
          <w:smallCaps w:val="false"/>
          <w:sz w:val="20"/>
          <w:shd w:fill="FFFFFF" w:val="clear"/>
        </w:rPr>
        <w:t xml:space="preserve">any’s Board of Directors on </w:t>
      </w:r>
      <w:r>
        <w:rPr>
          <w:rStyle w:val="Emphasis"/>
          <w:rFonts w:ascii="Times New Roman" w:hAnsi="Times New Roman"/>
          <w:caps w:val="false"/>
          <w:smallCaps w:val="false"/>
          <w:sz w:val="20"/>
          <w:shd w:fill="FFFFFF" w:val="clear"/>
        </w:rPr>
        <w:t>April 27,</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Pursuant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grant stock options and RSUs, as well as other forms of equity-based compensation, to employees as an inducement to join the Company. The maximum term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is 10 years and the awards generally vest over a three-year period. The exercise price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must be at least equal to the fair market value of such shares on the date of grant. On </w:t>
      </w:r>
      <w:r>
        <w:rPr>
          <w:rStyle w:val="Emphasis"/>
          <w:rFonts w:ascii="Times New Roman" w:hAnsi="Times New Roman"/>
          <w:caps w:val="false"/>
          <w:smallCaps w:val="false"/>
          <w:sz w:val="20"/>
          <w:shd w:fill="FFFFFF" w:val="clear"/>
        </w:rPr>
        <w:t>July 15, 2021, </w:t>
      </w:r>
      <w:r>
        <w:rPr>
          <w:rFonts w:ascii="Times New Roman" w:hAnsi="Times New Roman"/>
          <w:caps w:val="false"/>
          <w:smallCaps w:val="false"/>
          <w:sz w:val="20"/>
          <w:shd w:fill="FFFFFF" w:val="clear"/>
        </w:rPr>
        <w:t xml:space="preserve">the Board of Directors adopted an amendment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to increase the number of shares of the Company’s common stock reserved for issuance thereunder by 1,000,000 shares.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a total of </w:t>
      </w:r>
      <w:r>
        <w:rPr>
          <w:rFonts w:ascii="Times New Roman" w:hAnsi="Times New Roman"/>
          <w:caps w:val="false"/>
          <w:smallCaps w:val="false"/>
          <w:sz w:val="20"/>
        </w:rPr>
        <w:t>3,000,000</w:t>
      </w:r>
      <w:r>
        <w:rPr>
          <w:rFonts w:ascii="Times New Roman" w:hAnsi="Times New Roman"/>
          <w:caps w:val="false"/>
          <w:smallCaps w:val="false"/>
          <w:sz w:val="20"/>
          <w:shd w:fill="FFFFFF" w:val="clear"/>
        </w:rPr>
        <w:t xml:space="preserve"> shares of the Company’s common stock have been reserved for issuance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a total of </w:t>
      </w:r>
      <w:r>
        <w:rPr>
          <w:rFonts w:ascii="Times New Roman" w:hAnsi="Times New Roman"/>
          <w:caps w:val="false"/>
          <w:smallCaps w:val="false"/>
          <w:sz w:val="20"/>
        </w:rPr>
        <w:t>393,800</w:t>
      </w:r>
      <w:r>
        <w:rPr>
          <w:rFonts w:ascii="Times New Roman" w:hAnsi="Times New Roman"/>
          <w:caps w:val="false"/>
          <w:smallCaps w:val="false"/>
          <w:sz w:val="20"/>
          <w:shd w:fill="FFFFFF" w:val="clear"/>
        </w:rPr>
        <w:t xml:space="preserve"> 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and </w:t>
      </w:r>
      <w:r>
        <w:rPr>
          <w:rFonts w:ascii="Times New Roman" w:hAnsi="Times New Roman"/>
          <w:caps w:val="false"/>
          <w:smallCaps w:val="false"/>
          <w:sz w:val="20"/>
        </w:rPr>
        <w:t>1,328,505</w:t>
      </w:r>
      <w:r>
        <w:rPr>
          <w:rFonts w:ascii="Times New Roman" w:hAnsi="Times New Roman"/>
          <w:caps w:val="false"/>
          <w:smallCaps w:val="false"/>
          <w:sz w:val="20"/>
          <w:shd w:fill="FFFFFF" w:val="clear"/>
        </w:rPr>
        <w:t xml:space="preserve"> shares of the Company’s common stock are available for future issuance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Stock-based compensation expense was as follows (in thousands):</w:t>
      </w:r>
    </w:p>
    <w:p>
      <w:pPr>
        <w:pStyle w:val="TextBody"/>
        <w:bidi w:val="0"/>
        <w:spacing w:before="0" w:after="0"/>
        <w:ind w:left="0" w:right="0" w:firstLine="540"/>
        <w:jc w:val="left"/>
        <w:rPr>
          <w:caps w:val="false"/>
          <w:smallCaps w:val="false"/>
        </w:rPr>
      </w:pPr>
      <w:r>
        <w:rPr>
          <w:caps w:val="false"/>
          <w:smallCaps w:val="false"/>
        </w:rPr>
        <w:t> </w:t>
      </w:r>
    </w:p>
    <w:tbl>
      <w:tblPr>
        <w:tblW w:w="8334" w:type="dxa"/>
        <w:jc w:val="left"/>
        <w:tblInd w:w="0" w:type="dxa"/>
        <w:tblLayout w:type="fixed"/>
        <w:tblCellMar>
          <w:top w:w="0" w:type="dxa"/>
          <w:left w:w="0" w:type="dxa"/>
          <w:bottom w:w="0" w:type="dxa"/>
          <w:right w:w="0" w:type="dxa"/>
        </w:tblCellMar>
      </w:tblPr>
      <w:tblGrid>
        <w:gridCol w:w="3350"/>
        <w:gridCol w:w="60"/>
        <w:gridCol w:w="225"/>
        <w:gridCol w:w="875"/>
        <w:gridCol w:w="108"/>
        <w:gridCol w:w="108"/>
        <w:gridCol w:w="225"/>
        <w:gridCol w:w="875"/>
        <w:gridCol w:w="60"/>
        <w:gridCol w:w="60"/>
        <w:gridCol w:w="217"/>
        <w:gridCol w:w="843"/>
        <w:gridCol w:w="104"/>
        <w:gridCol w:w="104"/>
        <w:gridCol w:w="217"/>
        <w:gridCol w:w="843"/>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Nine Months Ended</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Activity with respect to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summarized as follows:</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Stock Option Roll Forward:</w:t>
      </w:r>
    </w:p>
    <w:p>
      <w:pPr>
        <w:pStyle w:val="TextBody"/>
        <w:bidi w:val="0"/>
        <w:spacing w:before="0" w:after="0"/>
        <w:ind w:left="0" w:right="0" w:firstLine="8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3"/>
        <w:gridCol w:w="60"/>
        <w:gridCol w:w="60"/>
        <w:gridCol w:w="845"/>
        <w:gridCol w:w="80"/>
        <w:gridCol w:w="60"/>
        <w:gridCol w:w="344"/>
        <w:gridCol w:w="1339"/>
        <w:gridCol w:w="60"/>
        <w:gridCol w:w="60"/>
        <w:gridCol w:w="466"/>
        <w:gridCol w:w="2146"/>
        <w:gridCol w:w="60"/>
        <w:gridCol w:w="60"/>
        <w:gridCol w:w="406"/>
        <w:gridCol w:w="1583"/>
        <w:gridCol w:w="63"/>
      </w:tblGrid>
      <w:tr>
        <w:trPr/>
        <w:tc>
          <w:tcPr>
            <w:tcW w:w="25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Contractual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 Intrinsic Value (in thousands)</w:t>
            </w:r>
          </w:p>
        </w:tc>
        <w:tc>
          <w:tcPr>
            <w:tcW w:w="63"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4,051,928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492,514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(84,954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583"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(55,882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583"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(850,176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 </w:t>
            </w:r>
          </w:p>
        </w:tc>
        <w:tc>
          <w:tcPr>
            <w:tcW w:w="63" w:type="dxa"/>
            <w:tcBorders/>
            <w:shd w:fill="CCEEFF" w:val="clear"/>
            <w:vAlign w:val="center"/>
          </w:tcPr>
          <w:p>
            <w:pPr>
              <w:pStyle w:val="TableContents"/>
              <w:bidi w:val="0"/>
              <w:spacing w:before="0" w:after="0"/>
              <w:jc w:val="left"/>
              <w:rPr/>
            </w:pPr>
            <w:r>
              <w:rPr/>
              <w:t> </w:t>
            </w:r>
          </w:p>
        </w:tc>
      </w:tr>
      <w:tr>
        <w:trPr/>
        <w:tc>
          <w:tcPr>
            <w:tcW w:w="251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September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3,553,430</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2,774</w:t>
            </w:r>
          </w:p>
        </w:tc>
        <w:tc>
          <w:tcPr>
            <w:tcW w:w="63" w:type="dxa"/>
            <w:tcBorders/>
            <w:shd w:fill="FFFFFF" w:val="clear"/>
            <w:vAlign w:val="center"/>
          </w:tcPr>
          <w:p>
            <w:pPr>
              <w:pStyle w:val="TableContents"/>
              <w:bidi w:val="0"/>
              <w:spacing w:before="0" w:after="283"/>
              <w:jc w:val="left"/>
              <w:rPr/>
            </w:pPr>
            <w:r>
              <w:rPr/>
              <w:t> </w:t>
            </w:r>
          </w:p>
        </w:tc>
      </w:tr>
      <w:tr>
        <w:trPr/>
        <w:tc>
          <w:tcPr>
            <w:tcW w:w="25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expected to vest at September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3,553,430</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1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2,774</w:t>
            </w:r>
          </w:p>
        </w:tc>
        <w:tc>
          <w:tcPr>
            <w:tcW w:w="63" w:type="dxa"/>
            <w:tcBorders/>
            <w:shd w:fill="CCEEFF" w:val="clear"/>
            <w:vAlign w:val="center"/>
          </w:tcPr>
          <w:p>
            <w:pPr>
              <w:pStyle w:val="TableContents"/>
              <w:bidi w:val="0"/>
              <w:spacing w:before="0" w:after="283"/>
              <w:jc w:val="left"/>
              <w:rPr/>
            </w:pPr>
            <w:r>
              <w:rPr/>
              <w:t> </w:t>
            </w:r>
          </w:p>
        </w:tc>
      </w:tr>
      <w:tr>
        <w:trPr/>
        <w:tc>
          <w:tcPr>
            <w:tcW w:w="251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Exercisable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3,147,703</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1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1,964</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At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total estimated unrecognized employee compensation cost related to non-vested stock options granted prior to that date was approximately $0.7 million, which is expected to be recognized over a weighted-average period of 1.1 years. At </w:t>
      </w:r>
      <w:r>
        <w:rPr>
          <w:rStyle w:val="Emphasis"/>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the total estimated unrecognized employee compensation cost related to non-vested RSUs was approximately $3.8 million, which is expected to be recognized over a weighted-average period of 1.3 years. The weighted-average grant date fair value of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xml:space="preserve"> was $1.95 and $4.57 per share, respectively. The weighted average grant date fair value of RSUs awarded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shd w:fill="FFFFFF" w:val="clear"/>
        </w:rPr>
        <w:t> was $3.34 and $5.89 per share, respecti</w:t>
      </w:r>
      <w:r>
        <w:rPr>
          <w:rFonts w:ascii="Times New Roman" w:hAnsi="Times New Roman"/>
          <w:caps w:val="false"/>
          <w:smallCaps w:val="false"/>
          <w:sz w:val="20"/>
        </w:rPr>
        <w:t>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Restricted Stock Unit Roll Forward:</w:t>
      </w:r>
    </w:p>
    <w:p>
      <w:pPr>
        <w:pStyle w:val="TextBody"/>
        <w:bidi w:val="0"/>
        <w:spacing w:before="0" w:after="0"/>
        <w:ind w:left="0" w:right="0" w:hanging="0"/>
        <w:jc w:val="left"/>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3290"/>
        <w:gridCol w:w="60"/>
        <w:gridCol w:w="60"/>
        <w:gridCol w:w="905"/>
        <w:gridCol w:w="80"/>
        <w:gridCol w:w="60"/>
        <w:gridCol w:w="862"/>
        <w:gridCol w:w="2622"/>
        <w:gridCol w:w="60"/>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Grant-Date Fair Value</w:t>
            </w:r>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shares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w:t>
            </w:r>
          </w:p>
        </w:tc>
        <w:tc>
          <w:tcPr>
            <w:tcW w:w="6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1,406,086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w:t>
            </w:r>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(114,209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60" w:type="dxa"/>
            <w:tcBorders/>
            <w:shd w:fill="CCEEFF" w:val="clear"/>
            <w:vAlign w:val="center"/>
          </w:tcPr>
          <w:p>
            <w:pPr>
              <w:pStyle w:val="TableContents"/>
              <w:bidi w:val="0"/>
              <w:spacing w:before="0" w:after="0"/>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(1,222,558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shares at September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1,358,768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caps w:val="false"/>
          <w:smallCaps w:val="false"/>
          <w:sz w:val="20"/>
        </w:rPr>
        <w:t>—</w:t>
      </w:r>
      <w:r>
        <w:rPr>
          <w:rStyle w:val="Emphasis"/>
          <w:rFonts w:ascii="Times New Roman" w:hAnsi="Times New Roman"/>
          <w:b/>
          <w:caps w:val="false"/>
          <w:smallCaps w:val="false"/>
          <w:sz w:val="20"/>
        </w:rPr>
        <w:t>401</w:t>
      </w:r>
      <w:r>
        <w:rPr>
          <w:rFonts w:ascii="Times New Roman" w:hAnsi="Times New Roman"/>
          <w:b/>
          <w:caps w:val="false"/>
          <w:smallCaps w:val="false"/>
          <w:sz w:val="20"/>
        </w:rPr>
        <w:t xml:space="preserve">(k) Savings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the Company adopted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savings plan for the benefit of its employees. The Company is required to make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 equal to 100% of the fi</w:t>
      </w:r>
      <w:r>
        <w:rPr>
          <w:rFonts w:ascii="Times New Roman" w:hAnsi="Times New Roman"/>
          <w:caps w:val="false"/>
          <w:smallCaps w:val="false"/>
          <w:sz w:val="20"/>
          <w:shd w:fill="FFFFFF" w:val="clear"/>
        </w:rPr>
        <w:t xml:space="preserve">rst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of</w:t>
      </w:r>
      <w:r>
        <w:rPr>
          <w:rFonts w:ascii="Times New Roman" w:hAnsi="Times New Roman"/>
          <w:caps w:val="false"/>
          <w:smallCaps w:val="false"/>
          <w:sz w:val="20"/>
        </w:rPr>
        <w:t xml:space="preserve"> wages deferred by each participating employee and 50% on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wages deferred by each participating employee. The Company incurred expenses for employer matching contributions of approximately $1.4 million and $1.4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caps w:val="false"/>
          <w:smallCaps w:val="false"/>
          <w:sz w:val="20"/>
        </w:rPr>
        <w:t>—</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Contractual obligations represent future cash commitments and liabilities under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and exclude contingent liabilities for which the Company cannot reasonably predict future payment. The Company’s contractual obligations result primarily from obligations for various contract manufacturing organizations and clinical research organizations, which include potential payments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make under our agreements. The contracts also contain variable costs and milestones that are hard to predict as they are based on such things as patients enrolled and clinical trial sites. The timing of payments and actual amounts paid under contract manufacturing organization (“CMO”) and CRO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different depending on the timing of receipt of goods or services or changes to agreed-upon terms or amounts for some obligations. Also, those agreements are cancelable upon written notice by the Company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Pfizer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the Company entered into an agreement pursuant to which Pfizer agreed to grant it a worldwide license for the development, manufacture and commercialization of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intravenous) and </w:t>
      </w:r>
      <w:r>
        <w:rPr>
          <w:rStyle w:val="Emphasis"/>
          <w:rFonts w:ascii="Times New Roman" w:hAnsi="Times New Roman"/>
          <w:caps w:val="false"/>
          <w:smallCaps w:val="false"/>
          <w:sz w:val="20"/>
        </w:rPr>
        <w:t>PB357,</w:t>
      </w:r>
      <w:r>
        <w:rPr>
          <w:rFonts w:ascii="Times New Roman" w:hAnsi="Times New Roman"/>
          <w:caps w:val="false"/>
          <w:smallCaps w:val="false"/>
          <w:sz w:val="20"/>
        </w:rPr>
        <w:t xml:space="preserve"> and certain related compounds. The license is exclusive with respect to certain patent rights owned by or licensed to Pfizer. Under the agreement, the Company is obligated to commence a new clinical trial for a product containing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these compounds within a specified period of time and to use commercially reasonable efforts to complete clinical trials and to achieve certain milestones as provided in a development plan. From the closing date of the agreement through </w:t>
      </w:r>
      <w:r>
        <w:rPr>
          <w:rStyle w:val="Emphasis"/>
          <w:rFonts w:ascii="Times New Roman" w:hAnsi="Times New Roman"/>
          <w:caps w:val="false"/>
          <w:smallCaps w:val="false"/>
          <w:sz w:val="20"/>
        </w:rPr>
        <w:t xml:space="preserve">December 31, 2011, </w:t>
      </w:r>
      <w:r>
        <w:rPr>
          <w:rFonts w:ascii="Times New Roman" w:hAnsi="Times New Roman"/>
          <w:caps w:val="false"/>
          <w:smallCaps w:val="false"/>
          <w:sz w:val="20"/>
        </w:rPr>
        <w:t xml:space="preserve">Pfizer continued to conduct the existing clinical trials on behalf of the Company at Pfizer’s sole expense. At the Company’s request, Pfizer agreed to continue to perform certain services in support of the existing clinical trials at the Company’s expense. These services would continue through the completion of the transitioned clinical trials. The license agreement “capped” the out-of-pocket expense the Company would incur to complete the then existing clinical trials. All agreed upon costs incurred by the Company above the “cost cap” would be reimbursed by Pfizer. The Company exceeded the “cost cap”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 accordance with the license agreement, the Company billed Pfizer for agreed upon costs above the “cost cap” until </w:t>
      </w:r>
      <w:r>
        <w:rPr>
          <w:rStyle w:val="Emphasis"/>
          <w:rFonts w:ascii="Times New Roman" w:hAnsi="Times New Roman"/>
          <w:caps w:val="false"/>
          <w:smallCaps w:val="false"/>
          <w:sz w:val="20"/>
        </w:rPr>
        <w:t>December 31,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2014, </w:t>
      </w:r>
      <w:r>
        <w:rPr>
          <w:rFonts w:ascii="Times New Roman" w:hAnsi="Times New Roman"/>
          <w:caps w:val="false"/>
          <w:smallCaps w:val="false"/>
          <w:sz w:val="20"/>
        </w:rPr>
        <w:t>the Company entered into an amendment to the license agreement with Pfizer. The amendment amends the agreement to (</w:t>
      </w:r>
      <w:r>
        <w:rPr>
          <w:rStyle w:val="Emphasis"/>
          <w:rFonts w:ascii="Times New Roman" w:hAnsi="Times New Roman"/>
          <w:caps w:val="false"/>
          <w:smallCaps w:val="false"/>
          <w:sz w:val="20"/>
        </w:rPr>
        <w:t>1</w:t>
      </w:r>
      <w:r>
        <w:rPr>
          <w:rFonts w:ascii="Times New Roman" w:hAnsi="Times New Roman"/>
          <w:caps w:val="false"/>
          <w:smallCaps w:val="false"/>
          <w:sz w:val="20"/>
        </w:rPr>
        <w:t>) reduce the royalty rate payable by the Company to Pfizer on sales of licensed products;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release Pfizer from its obligation to pay for certain out-of-pocket costs incurred or accrued on or after </w:t>
      </w:r>
      <w:r>
        <w:rPr>
          <w:rStyle w:val="Emphasis"/>
          <w:rFonts w:ascii="Times New Roman" w:hAnsi="Times New Roman"/>
          <w:caps w:val="false"/>
          <w:smallCaps w:val="false"/>
          <w:sz w:val="20"/>
        </w:rPr>
        <w:t xml:space="preserve">January 1, 2014 </w:t>
      </w:r>
      <w:r>
        <w:rPr>
          <w:rFonts w:ascii="Times New Roman" w:hAnsi="Times New Roman"/>
          <w:caps w:val="false"/>
          <w:smallCaps w:val="false"/>
          <w:sz w:val="20"/>
        </w:rPr>
        <w:t>to complete certain ongoing clinical studies; and (</w:t>
      </w:r>
      <w:r>
        <w:rPr>
          <w:rStyle w:val="Emphasis"/>
          <w:rFonts w:ascii="Times New Roman" w:hAnsi="Times New Roman"/>
          <w:caps w:val="false"/>
          <w:smallCaps w:val="false"/>
          <w:sz w:val="20"/>
        </w:rPr>
        <w:t>3</w:t>
      </w:r>
      <w:r>
        <w:rPr>
          <w:rFonts w:ascii="Times New Roman" w:hAnsi="Times New Roman"/>
          <w:caps w:val="false"/>
          <w:smallCaps w:val="false"/>
          <w:sz w:val="20"/>
        </w:rPr>
        <w:t>) provide that Pfizer and the Company will continue to cooperate to effect the transfer to the Company of certain records, regulatory filings, materials and inventory controlled by Pfizer as promptly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As consideration for the license, the Company is required to make substantial payments upon the achievement of certain milestones totaling approximately $187.5 million if all such milestones are achieved. In connection with the FDA approval of NERLYNX in </w:t>
      </w:r>
      <w:r>
        <w:rPr>
          <w:rStyle w:val="Emphasis"/>
          <w:rFonts w:ascii="Times New Roman" w:hAnsi="Times New Roman"/>
          <w:caps w:val="false"/>
          <w:smallCaps w:val="false"/>
          <w:sz w:val="20"/>
        </w:rPr>
        <w:t xml:space="preserve">July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triggered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pursuant to the agreement. 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the Company entered into a letter agreement (the “Letter Agreement”) with Pfizer relating to the method of payment associated with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under the license agreement with Pfizer. The Letter Agreement permitted the Company to make the milestone payment in installments with the remaining amount payable to Pfizer (including interest). The milestone payment accrued interest at 6.25% per annum. The milestone payment including accrued interest of $1.8 million was paid in full in </w:t>
      </w:r>
      <w:r>
        <w:rPr>
          <w:rStyle w:val="Emphasis"/>
          <w:rFonts w:ascii="Times New Roman" w:hAnsi="Times New Roman"/>
          <w:caps w:val="false"/>
          <w:smallCaps w:val="false"/>
          <w:sz w:val="20"/>
        </w:rPr>
        <w:t>September 2021. </w:t>
      </w:r>
      <w:r>
        <w:rPr>
          <w:rFonts w:ascii="Times New Roman" w:hAnsi="Times New Roman"/>
          <w:caps w:val="false"/>
          <w:smallCaps w:val="false"/>
          <w:sz w:val="20"/>
        </w:rPr>
        <w:t>In addition, the Company reached a commercial milestone by achieving aggregate worldwide net sales of $250.0 million in calendar year </w:t>
      </w:r>
      <w:r>
        <w:rPr>
          <w:rStyle w:val="Emphasis"/>
          <w:rFonts w:ascii="Times New Roman" w:hAnsi="Times New Roman"/>
          <w:caps w:val="false"/>
          <w:smallCaps w:val="false"/>
          <w:sz w:val="20"/>
        </w:rPr>
        <w:t>2022</w:t>
      </w:r>
      <w:r>
        <w:rPr>
          <w:rFonts w:ascii="Times New Roman" w:hAnsi="Times New Roman"/>
          <w:i/>
          <w:caps w:val="false"/>
          <w:smallCaps w:val="false"/>
          <w:sz w:val="20"/>
        </w:rPr>
        <w:t>,</w:t>
      </w:r>
      <w:r>
        <w:rPr>
          <w:rFonts w:ascii="Times New Roman" w:hAnsi="Times New Roman"/>
          <w:caps w:val="false"/>
          <w:smallCaps w:val="false"/>
          <w:sz w:val="20"/>
        </w:rPr>
        <w:t xml:space="preserve"> resulting in a payment to Pfizer of $12.5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capitalized the milestones as intangible assets and is amortizing the assets to cost of sales on a straight-line basis over the estimated useful life of the licensed patent through </w:t>
      </w:r>
      <w:r>
        <w:rPr>
          <w:rStyle w:val="Emphasis"/>
          <w:rFonts w:ascii="Times New Roman" w:hAnsi="Times New Roman"/>
          <w:caps w:val="false"/>
          <w:smallCaps w:val="false"/>
          <w:sz w:val="20"/>
        </w:rPr>
        <w:t>2030.</w:t>
      </w:r>
      <w:r>
        <w:rPr>
          <w:rFonts w:ascii="Times New Roman" w:hAnsi="Times New Roman"/>
          <w:caps w:val="false"/>
          <w:smallCaps w:val="false"/>
          <w:sz w:val="20"/>
        </w:rPr>
        <w:t> Should the Company commercialize any more of the compounds licensed from Pfizer or any products containing any of these compounds, the Company will be obligated to pay Pfizer annual royalties at a fixed rate in the low-to-mid teens of net sales of all such products, subject to certain reductions and offsets in some circumstances. The Company’s royalty obligation continues, on a product-by-product and country-by-country basis, until the later of (</w:t>
      </w:r>
      <w:r>
        <w:rPr>
          <w:rStyle w:val="Emphasis"/>
          <w:rFonts w:ascii="Times New Roman" w:hAnsi="Times New Roman"/>
          <w:caps w:val="false"/>
          <w:smallCaps w:val="false"/>
          <w:sz w:val="20"/>
        </w:rPr>
        <w:t>1</w:t>
      </w:r>
      <w:r>
        <w:rPr>
          <w:rFonts w:ascii="Times New Roman" w:hAnsi="Times New Roman"/>
          <w:caps w:val="false"/>
          <w:smallCaps w:val="false"/>
          <w:sz w:val="20"/>
        </w:rPr>
        <w:t>) the last to expire licensed patent covering the applicable licensed product in such country,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earlier of generic competition for such licensed product reaching a certain level in such country or expiration of a certain time period after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such licensed product in such country. In the event that the Company sub-licenses the rights granted to the Company under the license agreement with Pfizer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same milestone and royalty payments are required. The Company can terminate the license agreement at will, or for safety concerns, in each case upon specified advance notice.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Takeda License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Takeda to license the worldwide research and development and commercial rights to alisertib, a selective, small-molecule, orally administered inhibitor of aurora kinase A. Under the terms of the exclusive license agreement, the Company will assume sole responsibility for the global development and commercialization of alisertib. Takeda received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and is eligible to receive potential future milestone payments of up to $287.3 million upon the Company’s achievement of certain regulatory and commercial milestones over the course of the exclusive license agreement, as well as tiered royalty payments for any net sales of alisertib.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were achieved as of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sz w:val="20"/>
          <w:shd w:fill="FFFFFF" w:val="clear"/>
        </w:rPr>
      </w:pPr>
      <w:r>
        <w:rPr>
          <w:rFonts w:ascii="Times New Roman;Times;serif" w:hAnsi="Times New Roman;Times;serif"/>
          <w:b/>
          <w:sz w:val="20"/>
          <w:shd w:fill="FFFFFF" w:val="clear"/>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records a liability in the consolidated financial statements for loss contingencies when a loss is known or considered probable and the amount can be reasonably estimated. If the reasonable estimate of a known or probable loss is a range,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 within the range is a better estimate than any other, the minimum amount of the range is accrued. If a loss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known or probable, and can be reasonably estimated, the estimated loss or range of loss is disclosed. When determining the estimated loss or range of loss, significant judgment is required to estimate the amount and timing of a loss to be recorded.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Legal Malpractice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17, 2020, </w:t>
      </w:r>
      <w:r>
        <w:rPr>
          <w:rFonts w:ascii="Times New Roman" w:hAnsi="Times New Roman"/>
          <w:caps w:val="false"/>
          <w:smallCaps w:val="false"/>
          <w:sz w:val="20"/>
        </w:rPr>
        <w:t>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and all legal fees and expenses incurred in appealing from the judgment and retrying the damages phase of the trial. On </w:t>
      </w:r>
      <w:r>
        <w:rPr>
          <w:rStyle w:val="Emphasis"/>
          <w:rFonts w:ascii="Times New Roman" w:hAnsi="Times New Roman"/>
          <w:caps w:val="false"/>
          <w:smallCaps w:val="false"/>
          <w:sz w:val="20"/>
        </w:rPr>
        <w:t xml:space="preserve"> November 23, 2020, </w:t>
      </w:r>
      <w:r>
        <w:rPr>
          <w:rFonts w:ascii="Times New Roman" w:hAnsi="Times New Roman"/>
          <w:caps w:val="false"/>
          <w:smallCaps w:val="false"/>
          <w:sz w:val="20"/>
        </w:rPr>
        <w:t xml:space="preserve">the defendant filed an answer to the complaint denying the allegations of negligence. On </w:t>
      </w:r>
      <w:r>
        <w:rPr>
          <w:rStyle w:val="Emphasis"/>
          <w:rFonts w:ascii="Times New Roman" w:hAnsi="Times New Roman"/>
          <w:caps w:val="false"/>
          <w:smallCaps w:val="false"/>
          <w:sz w:val="20"/>
        </w:rPr>
        <w:t xml:space="preserve">August 19, 2022, </w:t>
      </w:r>
      <w:r>
        <w:rPr>
          <w:rFonts w:ascii="Times New Roman" w:hAnsi="Times New Roman"/>
          <w:caps w:val="false"/>
          <w:smallCaps w:val="false"/>
          <w:sz w:val="20"/>
        </w:rPr>
        <w:t>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On </w:t>
      </w:r>
      <w:r>
        <w:rPr>
          <w:rStyle w:val="Emphasis"/>
          <w:rFonts w:ascii="Times New Roman" w:hAnsi="Times New Roman"/>
          <w:caps w:val="false"/>
          <w:smallCaps w:val="false"/>
          <w:sz w:val="20"/>
        </w:rPr>
        <w:t xml:space="preserve">August 22, 2023, </w:t>
      </w:r>
      <w:r>
        <w:rPr>
          <w:rFonts w:ascii="Times New Roman" w:hAnsi="Times New Roman"/>
          <w:caps w:val="false"/>
          <w:smallCaps w:val="false"/>
          <w:sz w:val="20"/>
        </w:rPr>
        <w:t xml:space="preserve">the defendants filed motions to dismiss the case. These motions were presented at a hearing on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The Superior Court Judge granted the motions to dismiss on </w:t>
      </w:r>
      <w:r>
        <w:rPr>
          <w:rStyle w:val="Emphasis"/>
          <w:rFonts w:ascii="Times New Roman" w:hAnsi="Times New Roman"/>
          <w:caps w:val="false"/>
          <w:smallCaps w:val="false"/>
          <w:sz w:val="20"/>
        </w:rPr>
        <w:t xml:space="preserve">March 20, 2024. </w:t>
      </w:r>
      <w:r>
        <w:rPr>
          <w:rFonts w:ascii="Times New Roman" w:hAnsi="Times New Roman"/>
          <w:caps w:val="false"/>
          <w:smallCaps w:val="false"/>
          <w:sz w:val="20"/>
        </w:rPr>
        <w:t xml:space="preserve">The Company appealed this ruling to the North Carolina Court of Appeals. On </w:t>
      </w:r>
      <w:r>
        <w:rPr>
          <w:rStyle w:val="Emphasis"/>
          <w:rFonts w:ascii="Times New Roman" w:hAnsi="Times New Roman"/>
          <w:caps w:val="false"/>
          <w:smallCaps w:val="false"/>
          <w:sz w:val="20"/>
        </w:rPr>
        <w:t xml:space="preserve">September 3, 2025, </w:t>
      </w:r>
      <w:r>
        <w:rPr>
          <w:rFonts w:ascii="Times New Roman" w:hAnsi="Times New Roman"/>
          <w:caps w:val="false"/>
          <w:smallCaps w:val="false"/>
          <w:sz w:val="20"/>
        </w:rPr>
        <w:t xml:space="preserve">the Court of Appeals reversed the dismissal of the Company’s claim for legal malpractice and remanded the case to the Superior Court for further proceedings. The defendants filed a petition for discretionary review of this decision by the North Carolina Supreme Court on </w:t>
      </w:r>
      <w:r>
        <w:rPr>
          <w:rStyle w:val="Emphasis"/>
          <w:rFonts w:ascii="Times New Roman" w:hAnsi="Times New Roman"/>
          <w:caps w:val="false"/>
          <w:smallCaps w:val="false"/>
          <w:sz w:val="20"/>
        </w:rPr>
        <w:t xml:space="preserve">October 8, 2025. </w:t>
      </w:r>
      <w:r>
        <w:rPr>
          <w:rFonts w:ascii="Times New Roman" w:hAnsi="Times New Roman"/>
          <w:caps w:val="false"/>
          <w:smallCaps w:val="false"/>
          <w:sz w:val="20"/>
        </w:rPr>
        <w:t xml:space="preserve">The Supreme Court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Patent-Related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22, 2021, </w:t>
      </w:r>
      <w:r>
        <w:rPr>
          <w:rFonts w:ascii="Times New Roman" w:hAnsi="Times New Roman"/>
          <w:caps w:val="false"/>
          <w:smallCaps w:val="false"/>
          <w:sz w:val="20"/>
        </w:rPr>
        <w:t xml:space="preserve">the Company filed suit against AstraZeneca Pharmaceuticals, LP, AstraZeneca AB, and AstraZeneca PLC for infringement of United States Patent Nos. </w:t>
      </w:r>
      <w:r>
        <w:rPr>
          <w:rStyle w:val="Emphasis"/>
          <w:rFonts w:ascii="Times New Roman" w:hAnsi="Times New Roman"/>
          <w:caps w:val="false"/>
          <w:smallCaps w:val="false"/>
          <w:sz w:val="20"/>
        </w:rPr>
        <w:t>10,603,314</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patent”) and </w:t>
      </w:r>
      <w:r>
        <w:rPr>
          <w:rStyle w:val="Emphasis"/>
          <w:rFonts w:ascii="Times New Roman" w:hAnsi="Times New Roman"/>
          <w:caps w:val="false"/>
          <w:smallCaps w:val="false"/>
          <w:sz w:val="20"/>
        </w:rPr>
        <w:t>10,596,162</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1:21CV01338</w:t>
      </w:r>
      <w:r>
        <w:rPr>
          <w:rFonts w:ascii="Times New Roman" w:hAnsi="Times New Roman"/>
          <w:caps w:val="false"/>
          <w:smallCaps w:val="false"/>
          <w:sz w:val="20"/>
        </w:rPr>
        <w:t xml:space="preserve"> (D. Del. </w:t>
      </w:r>
      <w:r>
        <w:rPr>
          <w:rStyle w:val="Emphasis"/>
          <w:rFonts w:ascii="Times New Roman" w:hAnsi="Times New Roman"/>
          <w:caps w:val="false"/>
          <w:smallCaps w:val="false"/>
          <w:sz w:val="20"/>
        </w:rPr>
        <w:t xml:space="preserve">Sep. 22, 2021)). </w:t>
      </w:r>
      <w:r>
        <w:rPr>
          <w:rFonts w:ascii="Times New Roman" w:hAnsi="Times New Roman"/>
          <w:caps w:val="false"/>
          <w:smallCaps w:val="false"/>
          <w:sz w:val="20"/>
        </w:rPr>
        <w:t xml:space="preserve">The Company’s complaint alleges that AstraZeneca’s commercial manufacture, use, offer for sale, sale, distribution, and/or importation of Tagrisso® (osimertinib) products for the treatment of gefitinib and/or erlotinib-resistant non-small cell lung cancer infringes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The Company is an exclusive licensee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w:t>
      </w:r>
      <w:r>
        <w:rPr>
          <w:rStyle w:val="Emphasis"/>
          <w:rFonts w:ascii="Times New Roman" w:hAnsi="Times New Roman"/>
          <w:caps w:val="false"/>
          <w:smallCaps w:val="false"/>
          <w:sz w:val="20"/>
        </w:rPr>
        <w:t xml:space="preserve">November 5, 2021, </w:t>
      </w:r>
      <w:r>
        <w:rPr>
          <w:rFonts w:ascii="Times New Roman" w:hAnsi="Times New Roman"/>
          <w:caps w:val="false"/>
          <w:smallCaps w:val="false"/>
          <w:sz w:val="20"/>
        </w:rPr>
        <w:t xml:space="preserve">including claims challenging the asserted patents 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infringed and/or invalid, and accusing plaintiffs of unclean hands and patent misuse. The parties stipulated to dismiss AstraZeneca PLC as a defendant and Pfizer as a Counterclaim Defendant on </w:t>
      </w:r>
      <w:r>
        <w:rPr>
          <w:rStyle w:val="Emphasis"/>
          <w:rFonts w:ascii="Times New Roman" w:hAnsi="Times New Roman"/>
          <w:caps w:val="false"/>
          <w:smallCaps w:val="false"/>
          <w:sz w:val="20"/>
        </w:rPr>
        <w:t xml:space="preserve">December 10, 2021, </w:t>
      </w:r>
      <w:r>
        <w:rPr>
          <w:rFonts w:ascii="Times New Roman" w:hAnsi="Times New Roman"/>
          <w:caps w:val="false"/>
          <w:smallCaps w:val="false"/>
          <w:sz w:val="20"/>
        </w:rPr>
        <w:t xml:space="preserve">which the Court so ordered on </w:t>
      </w:r>
      <w:r>
        <w:rPr>
          <w:rStyle w:val="Emphasis"/>
          <w:rFonts w:ascii="Times New Roman" w:hAnsi="Times New Roman"/>
          <w:caps w:val="false"/>
          <w:smallCaps w:val="false"/>
          <w:sz w:val="20"/>
        </w:rPr>
        <w:t xml:space="preserve">December 13, 2021. </w:t>
      </w:r>
      <w:r>
        <w:rPr>
          <w:rFonts w:ascii="Times New Roman" w:hAnsi="Times New Roman"/>
          <w:caps w:val="false"/>
          <w:smallCaps w:val="false"/>
          <w:sz w:val="20"/>
        </w:rPr>
        <w:t xml:space="preserve">The Company filed its answer to AstraZeneca’s counterclaims on </w:t>
      </w:r>
      <w:r>
        <w:rPr>
          <w:rStyle w:val="Emphasis"/>
          <w:rFonts w:ascii="Times New Roman" w:hAnsi="Times New Roman"/>
          <w:caps w:val="false"/>
          <w:smallCaps w:val="false"/>
          <w:sz w:val="20"/>
        </w:rPr>
        <w:t xml:space="preserve">December 17, 2021, </w:t>
      </w:r>
      <w:r>
        <w:rPr>
          <w:rFonts w:ascii="Times New Roman" w:hAnsi="Times New Roman"/>
          <w:caps w:val="false"/>
          <w:smallCaps w:val="false"/>
          <w:sz w:val="20"/>
        </w:rPr>
        <w:t xml:space="preserve">denying those claims. The case was reassigned to visiting Judge Matthew Kennelly of the Northern District of Illinois. A Markman Hearing was conducted on </w:t>
      </w:r>
      <w:r>
        <w:rPr>
          <w:rStyle w:val="Emphasis"/>
          <w:rFonts w:ascii="Times New Roman" w:hAnsi="Times New Roman"/>
          <w:caps w:val="false"/>
          <w:smallCaps w:val="false"/>
          <w:sz w:val="20"/>
        </w:rPr>
        <w:t xml:space="preserve">March 17, 2023, </w:t>
      </w:r>
      <w:r>
        <w:rPr>
          <w:rFonts w:ascii="Times New Roman" w:hAnsi="Times New Roman"/>
          <w:caps w:val="false"/>
          <w:smallCaps w:val="false"/>
          <w:sz w:val="20"/>
        </w:rPr>
        <w:t xml:space="preserve">and the Court issued its claim construction decision 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Fact discovery closed on </w:t>
      </w:r>
      <w:r>
        <w:rPr>
          <w:rStyle w:val="Emphasis"/>
          <w:rFonts w:ascii="Times New Roman" w:hAnsi="Times New Roman"/>
          <w:caps w:val="false"/>
          <w:smallCaps w:val="false"/>
          <w:sz w:val="20"/>
        </w:rPr>
        <w:t xml:space="preserve">May 19, 2023, </w:t>
      </w:r>
      <w:r>
        <w:rPr>
          <w:rFonts w:ascii="Times New Roman" w:hAnsi="Times New Roman"/>
          <w:caps w:val="false"/>
          <w:smallCaps w:val="false"/>
          <w:sz w:val="20"/>
        </w:rPr>
        <w:t xml:space="preserve">and expert discovery closed on </w:t>
      </w:r>
      <w:r>
        <w:rPr>
          <w:rStyle w:val="Emphasis"/>
          <w:rFonts w:ascii="Times New Roman" w:hAnsi="Times New Roman"/>
          <w:caps w:val="false"/>
          <w:smallCaps w:val="false"/>
          <w:sz w:val="20"/>
        </w:rPr>
        <w:t xml:space="preserve">November 17, 2023. </w:t>
      </w:r>
      <w:r>
        <w:rPr>
          <w:rFonts w:ascii="Times New Roman" w:hAnsi="Times New Roman"/>
          <w:caps w:val="false"/>
          <w:smallCaps w:val="false"/>
          <w:sz w:val="20"/>
        </w:rPr>
        <w:t xml:space="preserve">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w:t>
      </w:r>
      <w:r>
        <w:rPr>
          <w:rStyle w:val="Emphasis"/>
          <w:rFonts w:ascii="Times New Roman" w:hAnsi="Times New Roman"/>
          <w:caps w:val="false"/>
          <w:smallCaps w:val="false"/>
          <w:sz w:val="20"/>
        </w:rPr>
        <w:t xml:space="preserve">March 18,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April 29, 2024 </w:t>
      </w:r>
      <w:r>
        <w:rPr>
          <w:rFonts w:ascii="Times New Roman" w:hAnsi="Times New Roman"/>
          <w:caps w:val="false"/>
          <w:smallCaps w:val="false"/>
          <w:sz w:val="20"/>
        </w:rPr>
        <w:t xml:space="preserve">orders. A jury trial was held </w:t>
      </w:r>
      <w:r>
        <w:rPr>
          <w:rStyle w:val="Emphasis"/>
          <w:rFonts w:ascii="Times New Roman" w:hAnsi="Times New Roman"/>
          <w:caps w:val="false"/>
          <w:smallCaps w:val="false"/>
          <w:sz w:val="20"/>
        </w:rPr>
        <w:t>May 13-17,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jury found in favor of Wyeth and against AstraZeneca. In particular, the jury found that use of Tagrisso® according to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FDA-approved indications infringes the asserted claims of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and that AstraZeneca induces that infringement. The jury further rejected AstraZeneca’s challenges to the validity of the patents, finding that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invalid. The jury awarded damages to Wyeth for past acts of infringement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in the amount of $107,500,000. A separate bench trial related to certain equitable claims and defenses raised by AstraZeneca was held before Judge Kennelly on </w:t>
      </w:r>
      <w:r>
        <w:rPr>
          <w:rStyle w:val="Emphasis"/>
          <w:rFonts w:ascii="Times New Roman" w:hAnsi="Times New Roman"/>
          <w:caps w:val="false"/>
          <w:smallCaps w:val="false"/>
          <w:sz w:val="20"/>
        </w:rPr>
        <w:t xml:space="preserve">June 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 xml:space="preserve">Judge Kennelly issued his ruling on the issues that were tried in the bench trial, finding for Wyeth and against AstraZeneca on all claims and defenses. The Court found that AstraZeneca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through the date of judgment; pre-and-post judgment interest, and ongoing royalties through the remaining term of the patents. Briefing on these motions from both sides was completed on </w:t>
      </w:r>
      <w:r>
        <w:rPr>
          <w:rStyle w:val="Emphasis"/>
          <w:rFonts w:ascii="Times New Roman" w:hAnsi="Times New Roman"/>
          <w:caps w:val="false"/>
          <w:smallCaps w:val="false"/>
          <w:sz w:val="20"/>
        </w:rPr>
        <w:t>July 16,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Judge Kennelly ruled on AstraZeneca’s motion challenging the jury’s verdict, granting it in part and denying it in part. The Court granted AstraZeneca’s motion for judgment as a matter of law that the </w:t>
      </w:r>
      <w:r>
        <w:rPr>
          <w:rStyle w:val="Emphasis"/>
          <w:rFonts w:ascii="Times New Roman" w:hAnsi="Times New Roman"/>
          <w:caps w:val="false"/>
          <w:smallCaps w:val="false"/>
          <w:sz w:val="20"/>
        </w:rPr>
        <w:t>'314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 patents are invalid under </w:t>
      </w:r>
      <w:r>
        <w:rPr>
          <w:rStyle w:val="Emphasis"/>
          <w:rFonts w:ascii="Times New Roman" w:hAnsi="Times New Roman"/>
          <w:caps w:val="false"/>
          <w:smallCaps w:val="false"/>
          <w:sz w:val="20"/>
        </w:rPr>
        <w:t>35</w:t>
      </w:r>
      <w:r>
        <w:rPr>
          <w:rFonts w:ascii="Times New Roman" w:hAnsi="Times New Roman"/>
          <w:caps w:val="false"/>
          <w:smallCaps w:val="false"/>
          <w:sz w:val="20"/>
        </w:rPr>
        <w:t xml:space="preserve"> U.S.C. §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w:t>
      </w:r>
      <w:r>
        <w:rPr>
          <w:rStyle w:val="Emphasis"/>
          <w:rFonts w:ascii="Times New Roman" w:hAnsi="Times New Roman"/>
          <w:caps w:val="false"/>
          <w:smallCaps w:val="false"/>
          <w:sz w:val="20"/>
        </w:rPr>
        <w:t xml:space="preserve">September 12, 2024, </w:t>
      </w:r>
      <w:r>
        <w:rPr>
          <w:rFonts w:ascii="Times New Roman" w:hAnsi="Times New Roman"/>
          <w:caps w:val="false"/>
          <w:smallCaps w:val="false"/>
          <w:sz w:val="20"/>
        </w:rPr>
        <w:t xml:space="preserve">appealing the District Court’s judgment as a matter of law, as well as other rulings and opinions of the Court adverse to Wyeth. On </w:t>
      </w:r>
      <w:r>
        <w:rPr>
          <w:rStyle w:val="Emphasis"/>
          <w:rFonts w:ascii="Times New Roman" w:hAnsi="Times New Roman"/>
          <w:caps w:val="false"/>
          <w:smallCaps w:val="false"/>
          <w:sz w:val="20"/>
        </w:rPr>
        <w:t xml:space="preserve">December 18, 2024, </w:t>
      </w:r>
      <w:r>
        <w:rPr>
          <w:rFonts w:ascii="Times New Roman" w:hAnsi="Times New Roman"/>
          <w:caps w:val="false"/>
          <w:smallCaps w:val="false"/>
          <w:sz w:val="20"/>
        </w:rPr>
        <w:t xml:space="preserve">Wyeth filed its opening brief. 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AstraZeneca filed its response brief.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non-parties Regeneron Pharmaceuticals, Inc. and Sanofi-Aventis U.S. LLC filed a motion for leave to file an amicus curiae brief in the Federal Circuit appeal. That motion was granted on </w:t>
      </w:r>
      <w:r>
        <w:rPr>
          <w:rStyle w:val="Emphasis"/>
          <w:rFonts w:ascii="Times New Roman" w:hAnsi="Times New Roman"/>
          <w:caps w:val="false"/>
          <w:smallCaps w:val="false"/>
          <w:sz w:val="20"/>
        </w:rPr>
        <w:t xml:space="preserve">May 16,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Wyeth filed its reply brief. Briefing on the appeal is now complete, and the parties await further order from the Court.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18, 2022, </w:t>
      </w:r>
      <w:r>
        <w:rPr>
          <w:rFonts w:ascii="Times New Roman" w:hAnsi="Times New Roman"/>
          <w:caps w:val="false"/>
          <w:smallCaps w:val="false"/>
          <w:sz w:val="20"/>
        </w:rPr>
        <w:t xml:space="preserve">Shanghai Acebright Pharmaceuticals Group Co., Ltd. (“Acebright”) filed an abbreviated new drug application (“ANDA”) with the National Medical Products Administration in China (“NMPA”) seeking approval to market a generic version of the Company’s NERLYNX® (neratinib) tablet, </w:t>
      </w:r>
      <w:r>
        <w:rPr>
          <w:rStyle w:val="Emphasis"/>
          <w:rFonts w:ascii="Times New Roman" w:hAnsi="Times New Roman"/>
          <w:caps w:val="false"/>
          <w:smallCaps w:val="false"/>
          <w:sz w:val="20"/>
        </w:rPr>
        <w:t>40mg</w:t>
      </w:r>
      <w:r>
        <w:rPr>
          <w:rFonts w:ascii="Times New Roman" w:hAnsi="Times New Roman"/>
          <w:caps w:val="false"/>
          <w:smallCaps w:val="false"/>
          <w:sz w:val="20"/>
        </w:rPr>
        <w:t xml:space="preserve"> in China. Acebright seeks approval prior to the expiration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patents listed on the China Patent Information Registration Platform for Marketed Drugs (“Chinese Orange Book”), namely,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collectively, the “NERLYNX® Patents”), alleging in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patent declaration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NERLYNX® Patents listed in the Chinese Orange Book. The patent declaration of Acebright was published in the Chinese Orange Book on </w:t>
      </w:r>
      <w:r>
        <w:rPr>
          <w:rStyle w:val="Emphasis"/>
          <w:rFonts w:ascii="Times New Roman" w:hAnsi="Times New Roman"/>
          <w:caps w:val="false"/>
          <w:smallCaps w:val="false"/>
          <w:sz w:val="20"/>
        </w:rPr>
        <w:t xml:space="preserve">January 19,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2022, </w:t>
      </w:r>
      <w:r>
        <w:rPr>
          <w:rFonts w:ascii="Times New Roman" w:hAnsi="Times New Roman"/>
          <w:caps w:val="false"/>
          <w:smallCaps w:val="false"/>
          <w:sz w:val="20"/>
        </w:rPr>
        <w:t xml:space="preserve">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w:t>
      </w:r>
      <w:r>
        <w:rPr>
          <w:rStyle w:val="Emphasis"/>
          <w:rFonts w:ascii="Times New Roman" w:hAnsi="Times New Roman"/>
          <w:caps w:val="false"/>
          <w:smallCaps w:val="false"/>
          <w:sz w:val="20"/>
        </w:rPr>
        <w:t xml:space="preserve">March 18, 2022. </w:t>
      </w:r>
      <w:r>
        <w:rPr>
          <w:rFonts w:ascii="Times New Roman" w:hAnsi="Times New Roman"/>
          <w:caps w:val="false"/>
          <w:smallCaps w:val="false"/>
          <w:sz w:val="20"/>
        </w:rPr>
        <w:t xml:space="preserve">The Company has notified NMPA of the acceptance of the request for administrative determination for NMPA to institute a stay of Acebright’s ANDA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On </w:t>
      </w:r>
      <w:r>
        <w:rPr>
          <w:rStyle w:val="Emphasis"/>
          <w:rFonts w:ascii="Times New Roman" w:hAnsi="Times New Roman"/>
          <w:caps w:val="false"/>
          <w:smallCaps w:val="false"/>
          <w:sz w:val="20"/>
        </w:rPr>
        <w:t xml:space="preserve">July 11, 2022, </w:t>
      </w:r>
      <w:r>
        <w:rPr>
          <w:rFonts w:ascii="Times New Roman" w:hAnsi="Times New Roman"/>
          <w:caps w:val="false"/>
          <w:smallCaps w:val="false"/>
          <w:sz w:val="20"/>
        </w:rPr>
        <w:t xml:space="preserve">CNIPA decided that claims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September 9, 2022, </w:t>
      </w:r>
      <w:r>
        <w:rPr>
          <w:rFonts w:ascii="Times New Roman" w:hAnsi="Times New Roman"/>
          <w:caps w:val="false"/>
          <w:smallCaps w:val="false"/>
          <w:sz w:val="20"/>
        </w:rPr>
        <w:t xml:space="preserve">CNIPA decided that the generic drug in Acebright’s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CNIPA administrative decisions on NERLYNX® Patents have lifted the stay of Acebright’s ANDA by NMPA. The Company has appealed each CNIPA administrative decision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at the Beijing Intellectual Property Court (“BJIPC”).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appeals were accepted by BJIPC on </w:t>
      </w:r>
      <w:r>
        <w:rPr>
          <w:rStyle w:val="Emphasis"/>
          <w:rFonts w:ascii="Times New Roman" w:hAnsi="Times New Roman"/>
          <w:caps w:val="false"/>
          <w:smallCaps w:val="false"/>
          <w:sz w:val="20"/>
        </w:rPr>
        <w:t xml:space="preserve">February 20, 2023. </w:t>
      </w:r>
      <w:r>
        <w:rPr>
          <w:rFonts w:ascii="Times New Roman" w:hAnsi="Times New Roman"/>
          <w:caps w:val="false"/>
          <w:smallCaps w:val="false"/>
          <w:sz w:val="20"/>
        </w:rPr>
        <w:t xml:space="preserve">The Company also filed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civil complaints based on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NERLYNX® Patents against Acebright with the BJIPC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and requested court determination that Acebright’s generic neratinib tablet falls within the scope of the claims of NERLYNX® Patents. On </w:t>
      </w:r>
      <w:r>
        <w:rPr>
          <w:rStyle w:val="Emphasis"/>
          <w:rFonts w:ascii="Times New Roman" w:hAnsi="Times New Roman"/>
          <w:caps w:val="false"/>
          <w:smallCaps w:val="false"/>
          <w:sz w:val="20"/>
        </w:rPr>
        <w:t xml:space="preserve">May 6, 2023, </w:t>
      </w:r>
      <w:r>
        <w:rPr>
          <w:rFonts w:ascii="Times New Roman" w:hAnsi="Times New Roman"/>
          <w:caps w:val="false"/>
          <w:smallCaps w:val="false"/>
          <w:sz w:val="20"/>
        </w:rPr>
        <w:t xml:space="preserve">the Company withdrew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civil lawsuits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appeals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May 24,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July 24,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remaining civil lawsuit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appeal in relation to Chinese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August 15,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NMPA approved Acebright’s ANDA to market a generic version of the Company’s NERLYNX® in China with the approval number of GuoYaoZhunZi </w:t>
      </w:r>
      <w:r>
        <w:rPr>
          <w:rStyle w:val="Emphasis"/>
          <w:rFonts w:ascii="Times New Roman" w:hAnsi="Times New Roman"/>
          <w:caps w:val="false"/>
          <w:smallCaps w:val="false"/>
          <w:sz w:val="20"/>
        </w:rPr>
        <w:t>H20234141.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Company filed a civil lawsuit against Acebright for infringement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under Article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of the Chinese Patent Law before Jiangsu Nanjing Intermediate People’s Court. The Company’s complaint alleges that Acebright’s offer for sale of a generic version of the Company’s NERLYNX®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The Company seeks a judgment that Acebright’s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Acebright’s act of offer for sale shall be enjoined. 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 xml:space="preserve">Jiangsu Nanjing Intermediate People’s Court accepted the civil complaint. An oral hearing was held on </w:t>
      </w:r>
      <w:r>
        <w:rPr>
          <w:rStyle w:val="Emphasis"/>
          <w:rFonts w:ascii="Times New Roman" w:hAnsi="Times New Roman"/>
          <w:caps w:val="false"/>
          <w:smallCaps w:val="false"/>
          <w:sz w:val="20"/>
        </w:rPr>
        <w:t xml:space="preserve">June 19, 2024, </w:t>
      </w:r>
      <w:r>
        <w:rPr>
          <w:rFonts w:ascii="Times New Roman" w:hAnsi="Times New Roman"/>
          <w:caps w:val="false"/>
          <w:smallCaps w:val="false"/>
          <w:sz w:val="20"/>
        </w:rPr>
        <w:t xml:space="preserve">during which the Company amended its complaint to allege that Acebright making, selling and offering to sell the generic version of NERLYNX®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On </w:t>
      </w:r>
      <w:r>
        <w:rPr>
          <w:rStyle w:val="Emphasis"/>
          <w:rFonts w:ascii="Times New Roman" w:hAnsi="Times New Roman"/>
          <w:caps w:val="false"/>
          <w:smallCaps w:val="false"/>
          <w:sz w:val="20"/>
        </w:rPr>
        <w:t xml:space="preserve">July 24, 2024, </w:t>
      </w:r>
      <w:r>
        <w:rPr>
          <w:rFonts w:ascii="Times New Roman" w:hAnsi="Times New Roman"/>
          <w:caps w:val="false"/>
          <w:smallCaps w:val="false"/>
          <w:sz w:val="20"/>
        </w:rPr>
        <w:t xml:space="preserve">the Company submitted a request to withdraw the lawsuit. On </w:t>
      </w:r>
      <w:r>
        <w:rPr>
          <w:rStyle w:val="Emphasis"/>
          <w:rFonts w:ascii="Times New Roman" w:hAnsi="Times New Roman"/>
          <w:caps w:val="false"/>
          <w:smallCaps w:val="false"/>
          <w:sz w:val="20"/>
        </w:rPr>
        <w:t xml:space="preserve">August 8, 2024, </w:t>
      </w:r>
      <w:r>
        <w:rPr>
          <w:rFonts w:ascii="Times New Roman" w:hAnsi="Times New Roman"/>
          <w:caps w:val="false"/>
          <w:smallCaps w:val="false"/>
          <w:sz w:val="20"/>
        </w:rPr>
        <w:t>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27, 2024, </w:t>
      </w:r>
      <w:r>
        <w:rPr>
          <w:rFonts w:ascii="Times New Roman" w:hAnsi="Times New Roman"/>
          <w:caps w:val="false"/>
          <w:smallCaps w:val="false"/>
          <w:sz w:val="20"/>
        </w:rPr>
        <w:t xml:space="preserve">the Company filed an additional patent infringement claim against Acebright at Jiangsu Nanjing Intermediate People’s Court. On </w:t>
      </w:r>
      <w:r>
        <w:rPr>
          <w:rStyle w:val="Emphasis"/>
          <w:rFonts w:ascii="Times New Roman" w:hAnsi="Times New Roman"/>
          <w:caps w:val="false"/>
          <w:smallCaps w:val="false"/>
          <w:sz w:val="20"/>
        </w:rPr>
        <w:t xml:space="preserve">October 14, 2024, </w:t>
      </w:r>
      <w:r>
        <w:rPr>
          <w:rFonts w:ascii="Times New Roman" w:hAnsi="Times New Roman"/>
          <w:caps w:val="false"/>
          <w:smallCaps w:val="false"/>
          <w:sz w:val="20"/>
        </w:rPr>
        <w:t>the Court accepted the complaint and designated case number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Su </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Min Chu </w:t>
      </w:r>
      <w:r>
        <w:rPr>
          <w:rStyle w:val="Emphasis"/>
          <w:rFonts w:ascii="Times New Roman" w:hAnsi="Times New Roman"/>
          <w:caps w:val="false"/>
          <w:smallCaps w:val="false"/>
          <w:sz w:val="20"/>
        </w:rPr>
        <w:t>2192</w:t>
      </w:r>
      <w:r>
        <w:rPr>
          <w:rFonts w:ascii="Times New Roman" w:hAnsi="Times New Roman"/>
          <w:caps w:val="false"/>
          <w:smallCaps w:val="false"/>
          <w:sz w:val="20"/>
        </w:rPr>
        <w:t xml:space="preserve"> to this case. On </w:t>
      </w:r>
      <w:r>
        <w:rPr>
          <w:rStyle w:val="Emphasis"/>
          <w:rFonts w:ascii="Times New Roman" w:hAnsi="Times New Roman"/>
          <w:caps w:val="false"/>
          <w:smallCaps w:val="false"/>
          <w:sz w:val="20"/>
        </w:rPr>
        <w:t xml:space="preserve">December 16, 2024, </w:t>
      </w:r>
      <w:r>
        <w:rPr>
          <w:rFonts w:ascii="Times New Roman" w:hAnsi="Times New Roman"/>
          <w:caps w:val="false"/>
          <w:smallCaps w:val="false"/>
          <w:sz w:val="20"/>
        </w:rPr>
        <w:t xml:space="preserve">the Court conducted an evidence exchange hearing. On </w:t>
      </w:r>
      <w:r>
        <w:rPr>
          <w:rStyle w:val="Emphasis"/>
          <w:rFonts w:ascii="Times New Roman" w:hAnsi="Times New Roman"/>
          <w:caps w:val="false"/>
          <w:smallCaps w:val="false"/>
          <w:sz w:val="20"/>
        </w:rPr>
        <w:t xml:space="preserve">January 10, 2025, </w:t>
      </w:r>
      <w:r>
        <w:rPr>
          <w:rFonts w:ascii="Times New Roman" w:hAnsi="Times New Roman"/>
          <w:caps w:val="false"/>
          <w:smallCaps w:val="false"/>
          <w:sz w:val="20"/>
        </w:rPr>
        <w:t xml:space="preserve">the Court conducted a hearing of party experts on the evaluation of evidence. On </w:t>
      </w:r>
      <w:r>
        <w:rPr>
          <w:rStyle w:val="Emphasis"/>
          <w:rFonts w:ascii="Times New Roman" w:hAnsi="Times New Roman"/>
          <w:caps w:val="false"/>
          <w:smallCaps w:val="false"/>
          <w:sz w:val="20"/>
        </w:rPr>
        <w:t xml:space="preserve">July 14, 2025, </w:t>
      </w:r>
      <w:r>
        <w:rPr>
          <w:rFonts w:ascii="Times New Roman" w:hAnsi="Times New Roman"/>
          <w:caps w:val="false"/>
          <w:smallCaps w:val="false"/>
          <w:sz w:val="20"/>
        </w:rPr>
        <w:t>the Court conducted a hearing for examining evidence and debating merits of party arguments.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17, 2022, </w:t>
      </w:r>
      <w:r>
        <w:rPr>
          <w:rFonts w:ascii="Times New Roman" w:hAnsi="Times New Roman"/>
          <w:caps w:val="false"/>
          <w:smallCaps w:val="false"/>
          <w:sz w:val="20"/>
        </w:rPr>
        <w:t xml:space="preserve">Jiangsu Aosaikang Pharmaceutical Co. Ltd. (“Aosaikang”)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CYHS2202006.</w:t>
      </w:r>
      <w:r>
        <w:rPr>
          <w:rFonts w:ascii="Times New Roman" w:hAnsi="Times New Roman"/>
          <w:caps w:val="false"/>
          <w:smallCaps w:val="false"/>
          <w:sz w:val="20"/>
        </w:rPr>
        <w:t xml:space="preserve"> Aosaikang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Aosaikang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2022,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Aosaikang ANDA with the CNIPA and requested administrative determination that Aosaikang’s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Aosaikang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Aosaikang’s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Aosaikang’s ANDA by NMPA. On </w:t>
      </w:r>
      <w:r>
        <w:rPr>
          <w:rStyle w:val="Emphasis"/>
          <w:rFonts w:ascii="Times New Roman" w:hAnsi="Times New Roman"/>
          <w:caps w:val="false"/>
          <w:smallCaps w:val="false"/>
          <w:sz w:val="20"/>
        </w:rPr>
        <w:t xml:space="preserve">October 22, 2024, </w:t>
      </w:r>
      <w:r>
        <w:rPr>
          <w:rFonts w:ascii="Times New Roman" w:hAnsi="Times New Roman"/>
          <w:caps w:val="false"/>
          <w:smallCaps w:val="false"/>
          <w:sz w:val="20"/>
        </w:rPr>
        <w:t xml:space="preserve">the NMPA approved Aosaikang’s ANDA to market a generic version of the Company’s NERLYNX® in China with the approval number of GuoYaoZhunZi </w:t>
      </w:r>
      <w:r>
        <w:rPr>
          <w:rStyle w:val="Emphasis"/>
          <w:rFonts w:ascii="Times New Roman" w:hAnsi="Times New Roman"/>
          <w:caps w:val="false"/>
          <w:smallCaps w:val="false"/>
          <w:sz w:val="20"/>
        </w:rPr>
        <w:t>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Convalife Pharmaceuticals (Shanghai) Co., Ltd (“Convalife”)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CYHS2202095.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December 23, 2022, </w:t>
      </w:r>
      <w:r>
        <w:rPr>
          <w:rFonts w:ascii="Times New Roman" w:hAnsi="Times New Roman"/>
          <w:caps w:val="false"/>
          <w:smallCaps w:val="false"/>
          <w:sz w:val="20"/>
        </w:rPr>
        <w:t xml:space="preserve">Convalife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Convalife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Convalife ANDA with the CNIPA and requested administrative determination that Convalife’s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Convalife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Convalife’s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Convalife’s ANDA by NMPA. On </w:t>
      </w:r>
      <w:r>
        <w:rPr>
          <w:rStyle w:val="Emphasis"/>
          <w:rFonts w:ascii="Times New Roman" w:hAnsi="Times New Roman"/>
          <w:caps w:val="false"/>
          <w:smallCaps w:val="false"/>
          <w:sz w:val="20"/>
        </w:rPr>
        <w:t xml:space="preserve">June 28, 2024, </w:t>
      </w:r>
      <w:r>
        <w:rPr>
          <w:rFonts w:ascii="Times New Roman" w:hAnsi="Times New Roman"/>
          <w:caps w:val="false"/>
          <w:smallCaps w:val="false"/>
          <w:sz w:val="20"/>
        </w:rPr>
        <w:t xml:space="preserve">the NMPA approved Convalife’s ANDA to market a generic version of the Company’s NERLYNX® in China with the approval number of GuoYaoZhunZi </w:t>
      </w:r>
      <w:r>
        <w:rPr>
          <w:rStyle w:val="Emphasis"/>
          <w:rFonts w:ascii="Times New Roman" w:hAnsi="Times New Roman"/>
          <w:caps w:val="false"/>
          <w:smallCaps w:val="false"/>
          <w:sz w:val="20"/>
        </w:rPr>
        <w:t>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Hunan Kelun Pharmaceutical Co., Ltd. (“Kelun”)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CYHS2300221.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Kelun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Kelun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Kelun ANDA with the CNIPA and requested administrative determination that Kelun’s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March 21,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March 24,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17,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Kelun’s ANDA starting from the CNIPA’s acceptance of the Company’s request for administrative determination. On </w:t>
      </w:r>
      <w:r>
        <w:rPr>
          <w:rStyle w:val="Emphasis"/>
          <w:rFonts w:ascii="Times New Roman" w:hAnsi="Times New Roman"/>
          <w:caps w:val="false"/>
          <w:smallCaps w:val="false"/>
          <w:sz w:val="20"/>
        </w:rPr>
        <w:t xml:space="preserve">September 14,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requests for administrative determination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CNIPA. On </w:t>
      </w:r>
      <w:r>
        <w:rPr>
          <w:rStyle w:val="Emphasis"/>
          <w:rFonts w:ascii="Times New Roman" w:hAnsi="Times New Roman"/>
          <w:caps w:val="false"/>
          <w:smallCaps w:val="false"/>
          <w:sz w:val="20"/>
        </w:rPr>
        <w:t xml:space="preserve">September 25, 2023, </w:t>
      </w:r>
      <w:r>
        <w:rPr>
          <w:rFonts w:ascii="Times New Roman" w:hAnsi="Times New Roman"/>
          <w:caps w:val="false"/>
          <w:smallCaps w:val="false"/>
          <w:sz w:val="20"/>
        </w:rPr>
        <w:t xml:space="preserve">the CNIPA accepted the Company’s withdrawal request. On </w:t>
      </w:r>
      <w:r>
        <w:rPr>
          <w:rStyle w:val="Emphasis"/>
          <w:rFonts w:ascii="Times New Roman" w:hAnsi="Times New Roman"/>
          <w:caps w:val="false"/>
          <w:smallCaps w:val="false"/>
          <w:sz w:val="20"/>
        </w:rPr>
        <w:t xml:space="preserve">September 9, 2025, </w:t>
      </w:r>
      <w:r>
        <w:rPr>
          <w:rFonts w:ascii="Times New Roman" w:hAnsi="Times New Roman"/>
          <w:caps w:val="false"/>
          <w:smallCaps w:val="false"/>
          <w:sz w:val="20"/>
        </w:rPr>
        <w:t xml:space="preserve">the NMPA approved Kelun’s ANDA to market a generic version of the Company’s NERLYNX® in China with the approval number of GuoYaoZhunZi </w:t>
      </w:r>
      <w:r>
        <w:rPr>
          <w:rStyle w:val="Emphasis"/>
          <w:rFonts w:ascii="Times New Roman" w:hAnsi="Times New Roman"/>
          <w:caps w:val="false"/>
          <w:smallCaps w:val="false"/>
          <w:sz w:val="20"/>
        </w:rPr>
        <w:t>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Zhengzhou Demai Pharmaceutical Co., Ltd (“Demai”)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CYHS2402776.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26, 2024, </w:t>
      </w:r>
      <w:r>
        <w:rPr>
          <w:rFonts w:ascii="Times New Roman" w:hAnsi="Times New Roman"/>
          <w:caps w:val="false"/>
          <w:smallCaps w:val="false"/>
          <w:sz w:val="20"/>
        </w:rPr>
        <w:t xml:space="preserve">Demai made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 against Orange Book Patent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this Orange Book patent. On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on </w:t>
      </w:r>
      <w:r>
        <w:rPr>
          <w:rStyle w:val="Emphasis"/>
          <w:rFonts w:ascii="Times New Roman" w:hAnsi="Times New Roman"/>
          <w:caps w:val="false"/>
          <w:smallCaps w:val="false"/>
          <w:sz w:val="20"/>
        </w:rPr>
        <w:t xml:space="preserve">October 8,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13, 2025, </w:t>
      </w:r>
      <w:r>
        <w:rPr>
          <w:rFonts w:ascii="Times New Roman" w:hAnsi="Times New Roman"/>
          <w:caps w:val="false"/>
          <w:smallCaps w:val="false"/>
          <w:sz w:val="20"/>
        </w:rPr>
        <w:t xml:space="preserve">the Company withdrew the lawsuits from BJIPC, filed an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 with the CNIPA against the Demai ANDA and requested administrative determination that Demai’s generic neratinib maleate tablet falls within the scope of the claims of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21, 2025, </w:t>
      </w:r>
      <w:r>
        <w:rPr>
          <w:rFonts w:ascii="Times New Roman" w:hAnsi="Times New Roman"/>
          <w:caps w:val="false"/>
          <w:smallCaps w:val="false"/>
          <w:sz w:val="20"/>
        </w:rPr>
        <w:t xml:space="preserve">the CNIPA accepted the Company’s petition and started examination. On </w:t>
      </w:r>
      <w:r>
        <w:rPr>
          <w:rStyle w:val="Emphasis"/>
          <w:rFonts w:ascii="Times New Roman" w:hAnsi="Times New Roman"/>
          <w:caps w:val="false"/>
          <w:smallCaps w:val="false"/>
          <w:sz w:val="20"/>
        </w:rPr>
        <w:t xml:space="preserve">March 18, 2025, </w:t>
      </w:r>
      <w:r>
        <w:rPr>
          <w:rFonts w:ascii="Times New Roman" w:hAnsi="Times New Roman"/>
          <w:caps w:val="false"/>
          <w:smallCaps w:val="false"/>
          <w:sz w:val="20"/>
        </w:rPr>
        <w:t xml:space="preserve">the Company filed a request with the NMPA to set up a </w:t>
      </w:r>
      <w:r>
        <w:rPr>
          <w:rStyle w:val="Emphasis"/>
          <w:rFonts w:ascii="Times New Roman" w:hAnsi="Times New Roman"/>
          <w:caps w:val="false"/>
          <w:smallCaps w:val="false"/>
          <w:sz w:val="20"/>
        </w:rPr>
        <w:t>nine</w:t>
      </w:r>
      <w:r>
        <w:rPr>
          <w:rFonts w:ascii="Times New Roman" w:hAnsi="Times New Roman"/>
          <w:caps w:val="false"/>
          <w:smallCaps w:val="false"/>
          <w:sz w:val="20"/>
        </w:rPr>
        <w:t>-month stay on Demai’s ANDA.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An Opposition was filed by Hexal AG (“Hexal”) on </w:t>
      </w:r>
      <w:r>
        <w:rPr>
          <w:rStyle w:val="Emphasis"/>
          <w:rFonts w:ascii="Times New Roman" w:hAnsi="Times New Roman"/>
          <w:caps w:val="false"/>
          <w:smallCaps w:val="false"/>
          <w:sz w:val="20"/>
        </w:rPr>
        <w:t xml:space="preserve">August 3, 2016 </w:t>
      </w:r>
      <w:r>
        <w:rPr>
          <w:rFonts w:ascii="Times New Roman" w:hAnsi="Times New Roman"/>
          <w:caps w:val="false"/>
          <w:smallCaps w:val="false"/>
          <w:sz w:val="20"/>
        </w:rPr>
        <w:t xml:space="preserve">against European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EP2416774</w:t>
      </w:r>
      <w:r>
        <w:rPr>
          <w:rFonts w:ascii="Times New Roman" w:hAnsi="Times New Roman"/>
          <w:caps w:val="false"/>
          <w:smallCaps w:val="false"/>
          <w:sz w:val="20"/>
        </w:rPr>
        <w:t xml:space="preserve"> which was licensed from Pfizer in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and which claims neratinib for use in a method for treating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and improving IDFS, wherein the method comprises delivering neratinib therapy to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patients following the completion of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trastuzumab adjuvant therapy, and wherein the neratinib therapy comprises treating the cancer patients with neratinib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 oral hearing was held </w:t>
      </w:r>
      <w:r>
        <w:rPr>
          <w:rStyle w:val="Emphasis"/>
          <w:rFonts w:ascii="Times New Roman" w:hAnsi="Times New Roman"/>
          <w:caps w:val="false"/>
          <w:smallCaps w:val="false"/>
          <w:sz w:val="20"/>
        </w:rPr>
        <w:t xml:space="preserve">December 8, 2017, </w:t>
      </w:r>
      <w:r>
        <w:rPr>
          <w:rFonts w:ascii="Times New Roman" w:hAnsi="Times New Roman"/>
          <w:caps w:val="false"/>
          <w:smallCaps w:val="false"/>
          <w:sz w:val="20"/>
        </w:rPr>
        <w:t xml:space="preserve">wherein the patent was maintained as granted. Following an appeal filed by Hexal, the Board of Appeal of the European Patent Office rejected the claims as granted and all pending auxiliary requests during the oral hearing of </w:t>
      </w:r>
      <w:r>
        <w:rPr>
          <w:rStyle w:val="Emphasis"/>
          <w:rFonts w:ascii="Times New Roman" w:hAnsi="Times New Roman"/>
          <w:caps w:val="false"/>
          <w:smallCaps w:val="false"/>
          <w:sz w:val="20"/>
        </w:rPr>
        <w:t xml:space="preserve">September 2, 2021. </w:t>
      </w:r>
      <w:r>
        <w:rPr>
          <w:rFonts w:ascii="Times New Roman" w:hAnsi="Times New Roman"/>
          <w:caps w:val="false"/>
          <w:smallCaps w:val="false"/>
          <w:sz w:val="20"/>
        </w:rPr>
        <w:t xml:space="preserve">Before issuance of a decision, we withdrew approval of the text in which the patent was granted and all pending auxiliary requests, thereby revoking the patent and concluding the appeal. One European divisional application, namely </w:t>
      </w:r>
      <w:r>
        <w:rPr>
          <w:rStyle w:val="Emphasis"/>
          <w:rFonts w:ascii="Times New Roman" w:hAnsi="Times New Roman"/>
          <w:caps w:val="false"/>
          <w:smallCaps w:val="false"/>
          <w:sz w:val="20"/>
        </w:rPr>
        <w:t>EP15188350.1,</w:t>
      </w:r>
      <w:r>
        <w:rPr>
          <w:rFonts w:ascii="Times New Roman" w:hAnsi="Times New Roman"/>
          <w:caps w:val="false"/>
          <w:smallCaps w:val="false"/>
          <w:sz w:val="20"/>
        </w:rPr>
        <w:t xml:space="preserve"> was granted with the European patent number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 xml:space="preserve">Oppositions against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were filed by Hexal AG (“Hexal”) on </w:t>
      </w:r>
      <w:r>
        <w:rPr>
          <w:rStyle w:val="Emphasis"/>
          <w:rFonts w:ascii="Times New Roman" w:hAnsi="Times New Roman"/>
          <w:caps w:val="false"/>
          <w:smallCaps w:val="false"/>
          <w:sz w:val="20"/>
        </w:rPr>
        <w:t xml:space="preserve">November 3, 2023, </w:t>
      </w:r>
      <w:r>
        <w:rPr>
          <w:rFonts w:ascii="Times New Roman" w:hAnsi="Times New Roman"/>
          <w:caps w:val="false"/>
          <w:smallCaps w:val="false"/>
          <w:sz w:val="20"/>
        </w:rPr>
        <w:t xml:space="preserve">by Alfred E. Tiefenbacher (GmbH &amp; Co. KG) on </w:t>
      </w:r>
      <w:r>
        <w:rPr>
          <w:rStyle w:val="Emphasis"/>
          <w:rFonts w:ascii="Times New Roman" w:hAnsi="Times New Roman"/>
          <w:caps w:val="false"/>
          <w:smallCaps w:val="false"/>
          <w:sz w:val="20"/>
        </w:rPr>
        <w:t xml:space="preserve">November 28, 2023 </w:t>
      </w:r>
      <w:r>
        <w:rPr>
          <w:rFonts w:ascii="Times New Roman" w:hAnsi="Times New Roman"/>
          <w:caps w:val="false"/>
          <w:smallCaps w:val="false"/>
          <w:sz w:val="20"/>
        </w:rPr>
        <w:t xml:space="preserve">and by Generics (UK) Limited (“Generics”) on </w:t>
      </w:r>
      <w:r>
        <w:rPr>
          <w:rStyle w:val="Emphasis"/>
          <w:rFonts w:ascii="Times New Roman" w:hAnsi="Times New Roman"/>
          <w:caps w:val="false"/>
          <w:smallCaps w:val="false"/>
          <w:sz w:val="20"/>
        </w:rPr>
        <w:t>December 1, 2023. EP3000467</w:t>
      </w:r>
      <w:r>
        <w:rPr>
          <w:rFonts w:ascii="Times New Roman" w:hAnsi="Times New Roman"/>
          <w:caps w:val="false"/>
          <w:smallCaps w:val="false"/>
          <w:sz w:val="20"/>
        </w:rPr>
        <w:t xml:space="preserve"> is used as the basic patent for Supplementary Protection Certificate applications for the EMA-approved NERLYNX® product,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of which have been granted,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proceedings have been stayed, and </w:t>
      </w:r>
      <w:r>
        <w:rPr>
          <w:rStyle w:val="Emphasis"/>
          <w:rFonts w:ascii="Times New Roman" w:hAnsi="Times New Roman"/>
          <w:caps w:val="false"/>
          <w:smallCaps w:val="false"/>
          <w:sz w:val="20"/>
        </w:rPr>
        <w:t>eleven</w:t>
      </w:r>
      <w:r>
        <w:rPr>
          <w:rFonts w:ascii="Times New Roman" w:hAnsi="Times New Roman"/>
          <w:caps w:val="false"/>
          <w:smallCaps w:val="false"/>
          <w:sz w:val="20"/>
        </w:rPr>
        <w:t xml:space="preserve"> are in active prosecution. The patentee response to the notice of opposition was filed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following which,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opponents filed additional arguments in reply to the patentee’s submission. On </w:t>
      </w:r>
      <w:r>
        <w:rPr>
          <w:rStyle w:val="Emphasis"/>
          <w:rFonts w:ascii="Times New Roman" w:hAnsi="Times New Roman"/>
          <w:caps w:val="false"/>
          <w:smallCaps w:val="false"/>
          <w:sz w:val="20"/>
        </w:rPr>
        <w:t xml:space="preserve">February 6, 2025, </w:t>
      </w:r>
      <w:r>
        <w:rPr>
          <w:rFonts w:ascii="Times New Roman" w:hAnsi="Times New Roman"/>
          <w:caps w:val="false"/>
          <w:smallCaps w:val="false"/>
          <w:sz w:val="20"/>
        </w:rPr>
        <w:t xml:space="preserve">the Company filed its response to the summons to attend oral proceedings, including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auxiliary requests. Alfred E. Tiefenbacher and Hexal AG filed their responses to the summons to oral proceedings on </w:t>
      </w:r>
      <w:r>
        <w:rPr>
          <w:rStyle w:val="Emphasis"/>
          <w:rFonts w:ascii="Times New Roman" w:hAnsi="Times New Roman"/>
          <w:caps w:val="false"/>
          <w:smallCaps w:val="false"/>
          <w:sz w:val="20"/>
        </w:rPr>
        <w:t xml:space="preserve">February 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Hexal filed a further brief on </w:t>
      </w:r>
      <w:r>
        <w:rPr>
          <w:rStyle w:val="Emphasis"/>
          <w:rFonts w:ascii="Times New Roman" w:hAnsi="Times New Roman"/>
          <w:caps w:val="false"/>
          <w:smallCaps w:val="false"/>
          <w:sz w:val="20"/>
        </w:rPr>
        <w:t xml:space="preserve">March 19, 2025. </w:t>
      </w:r>
      <w:r>
        <w:rPr>
          <w:rFonts w:ascii="Times New Roman" w:hAnsi="Times New Roman"/>
          <w:caps w:val="false"/>
          <w:smallCaps w:val="false"/>
          <w:sz w:val="20"/>
        </w:rPr>
        <w:t xml:space="preserve">Oral proceedings took place on </w:t>
      </w:r>
      <w:r>
        <w:rPr>
          <w:rStyle w:val="Emphasis"/>
          <w:rFonts w:ascii="Times New Roman" w:hAnsi="Times New Roman"/>
          <w:caps w:val="false"/>
          <w:smallCaps w:val="false"/>
          <w:sz w:val="20"/>
        </w:rPr>
        <w:t xml:space="preserve">April 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was upheld as amended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hearing based on Auxiliary Request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covers the EMA approved indication for NERLYNX® as an extended adjuvant therapy for treating early-stage hormone receptor positive HER-</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-overexpressed/amplified breast cancer.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decision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appealed. Hexal filed an appeal 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Generics [UK] Limited filed an appeal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and Wyeth filed an appeal 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One European divisional application is pending in the same family, namely EP </w:t>
      </w:r>
      <w:r>
        <w:rPr>
          <w:rStyle w:val="Emphasis"/>
          <w:rFonts w:ascii="Times New Roman" w:hAnsi="Times New Roman"/>
          <w:caps w:val="false"/>
          <w:smallCaps w:val="false"/>
          <w:sz w:val="20"/>
        </w:rPr>
        <w:t>23157078.8.</w:t>
      </w:r>
      <w:r>
        <w:rPr>
          <w:rFonts w:ascii="Times New Roman" w:hAnsi="Times New Roman"/>
          <w:caps w:val="false"/>
          <w:smallCaps w:val="false"/>
          <w:sz w:val="20"/>
        </w:rPr>
        <w:t xml:space="preserve"> A response to the European Search Opinion (ESO) for this application was filed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was issued 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with a response 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filed on </w:t>
      </w:r>
      <w:r>
        <w:rPr>
          <w:rStyle w:val="Emphasis"/>
          <w:rFonts w:ascii="Times New Roman" w:hAnsi="Times New Roman"/>
          <w:caps w:val="false"/>
          <w:smallCaps w:val="false"/>
          <w:sz w:val="20"/>
        </w:rPr>
        <w:t>July 22,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3"/>
        <w:gridCol w:w="9602"/>
      </w:tblGrid>
      <w:tr>
        <w:trPr/>
        <w:tc>
          <w:tcPr>
            <w:tcW w:w="603"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Item</w:t>
            </w:r>
            <w:r>
              <w:rPr>
                <w:rFonts w:ascii="Times New Roman" w:hAnsi="Times New Roman"/>
                <w:b w:val="false"/>
                <w:sz w:val="20"/>
              </w:rPr>
              <w:t> </w:t>
            </w:r>
            <w:r>
              <w:rPr>
                <w:rFonts w:ascii="Times New Roman" w:hAnsi="Times New Roman"/>
                <w:b/>
                <w:sz w:val="20"/>
              </w:rPr>
              <w:t>2.</w:t>
            </w:r>
            <w:bookmarkStart w:id="9" w:name="mda"/>
            <w:bookmarkEnd w:id="9"/>
          </w:p>
        </w:tc>
        <w:tc>
          <w:tcPr>
            <w:tcW w:w="9602"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MANAGEMENT</w:t>
            </w:r>
            <w:r>
              <w:rPr>
                <w:rFonts w:ascii="Times New Roman" w:hAnsi="Times New Roman"/>
                <w:b w:val="false"/>
                <w:sz w:val="20"/>
              </w:rPr>
              <w:t>’</w:t>
            </w:r>
            <w:r>
              <w:rPr>
                <w:rFonts w:ascii="Times New Roman" w:hAnsi="Times New Roman"/>
                <w:b/>
                <w:sz w:val="20"/>
              </w:rPr>
              <w:t>S DISCUSSION AND ANALYSIS OF FINANCIAL CONDITION AND RESULTS OF OPERATIONS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of our financial condition and results of operations should be read in conjunction with our unaudited condensed consolidated financial statements and the notes thereto included in Item 1 in this Quarterly Report on Form 10-Q, (this “Quarterly Report”). The following discussion should also be read in conjunction with our audited consolidated financial statements and the notes thereto and “Management’s Discussion and Analysis of Financial Condition and Results of Operations” included in our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otherwise provided in this Quarterly Report, references to the “Company,” “we,” “us,” and “our” refer to Puma Biotechnology, Inc., a Delaware corporation, together with its wholly owned subsidiary.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 cancers. Additionally, in 2022, we in-licensed and became responsible for the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triple-negative breast cancer and small cell lung cancer. We intend to pursue development of alisertib initially in small cell lung cancer and hormone receptor-positive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NERLYNX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currently market NERLYNX in the United States using our direct specialty sales force consisting of approxima</w:t>
      </w:r>
      <w:r>
        <w:rPr>
          <w:rFonts w:ascii="Times New Roman" w:hAnsi="Times New Roman"/>
          <w:caps w:val="false"/>
          <w:smallCaps w:val="false"/>
          <w:sz w:val="20"/>
          <w:shd w:fill="FFFFFF" w:val="clear"/>
        </w:rPr>
        <w:t>tely 38 </w:t>
      </w:r>
      <w:r>
        <w:rPr>
          <w:rFonts w:ascii="Times New Roman" w:hAnsi="Times New Roman"/>
          <w:caps w:val="false"/>
          <w:smallCaps w:val="false"/>
          <w:sz w:val="20"/>
        </w:rPr>
        <w:t>sales specialists. Our sales specialists are supported by an experienced sales leadership team consisting of several regional business leaders and a Vice President of sales, as well as experienced professionals in marketing, managed markets, access and reimbursement, research, and sales planning and operations. Outside the United States, we seek to enter into exclusive sub-license agreements with third parties to pursue regulatory approval, if necessary, and commercialize NERLYNX, if approved. As of September 30, 2025, NERLYNX has received approval for the treatment of certain patients with extended adjuvant or metastatic HER2-positive breast cancer in over 40 countries outside the United States. We are currently party to several sub-licenses in various regions outside the United States, including Europe, Australia, Canada, China, Southeast Asia, Israel, South Korea, Russia and various countries and territories in Central America,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an exclusive license agreement with Takeda Pharmaceutical Company Limited (“Takeda”) to license the worldwide research and development and commercial rights to alisertib. Alisertib is an investigational, reversible, ATP-competitive inhibitor that is designed to be highly selective for Aurora Kinase A. Inhibition of Aurora Kinase A can lead to disruption of mitotic spindle apparatus assembly, disruption of chromosome segregation, and inhibition of cell proliferation. In clinical trials to date, alisertib has shown single agent activity and activity in combination with other cancer drugs in the treatment of many different types of cancers, including hormone receptor-positive breast cancer, triple-negative breast cancer, small cell lung cancer and head and neck cancer. We initiated the ALISertib in CAncer (ALISCA™ -Lung1) Phase II trial (PUMA-ALI-4201) of alisertib monotherapy for the treatment of patients with extensive stage small cell lung cancer in February 2024, and we commenced the ALISCA™ -Breast1 Phase II trial (PUMA-ALI-1201) in November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terms of the exclusive license agreement, we assumed sole responsibility for the global development and commercialization of alisertib. We paid Takeda an upfront license fee of $7.0 million in October 2022</w:t>
      </w:r>
      <w:r>
        <w:rPr>
          <w:rFonts w:ascii="Times New Roman" w:hAnsi="Times New Roman"/>
          <w:caps w:val="false"/>
          <w:smallCaps w:val="false"/>
          <w:sz w:val="20"/>
          <w:u w:val="single"/>
        </w:rPr>
        <w:t>,</w:t>
      </w:r>
      <w:r>
        <w:rPr>
          <w:rFonts w:ascii="Times New Roman" w:hAnsi="Times New Roman"/>
          <w:caps w:val="false"/>
          <w:smallCaps w:val="false"/>
          <w:sz w:val="20"/>
        </w:rPr>
        <w:t xml:space="preserve"> and it is eligible to receive potential future milestone payments of up to $287.3 million upon our achievement of certain regulatory and commercial milestones over the course of the exclusive license agreement, as well as tiered royalty payments for any net sales of alisertib. We recorded in-process research and development expense of $7.0 million during the year ended December 31, 2022, in connection with the upfront payment related to the asset acquisition. As of September 30, 2025, no milestones had been accrued as the underlying contingencies were not probable or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expenses to date have been related to hiring staff, commencing company-sponsored clinical trials, building out of our corporate infrastructure and, since 2017, the commercial launch of NERLYNX. Going forward, we anticipate significant expenses as we continue to develop alisertib in 2025. Accordingly, our success depends not only on the safety and efficacy of our drug candidates, but also on our ability to finance product development. To date, our major sources of working capital have been proceeds from product and license revenue, public offerings of our common stock, proceeds from our credit facility and sales of our common stock in private placements. We intend to satisfy our near-term liquidity requirements through a combination of our existing cash and cash equivalents and marketable securities as of September 30, 2025, and proceeds that will become available to us through product sales, royalties and sub-license milestone payments. However, this intention is based on assumptions that may prove to be wrong. Changes may occur that would consume our available capital faster than anticipated, including changes in and progress of our development activities, the impact of commercialization efforts, acquisition of additional drug candidates and changes in regulation. Some of these developments have had and may continue to have an adverse effect on our revenue and thus could have an adverse effect on our ability to satisfy the minimum revenue and cash balance covenants contained in the Athyrium Notes.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the date of the filing of this Quarterly Report, we believe there have been no material changes to our critical accounting policies and estimates during the nine months ended September 30, 2025 from our accounting policies at December 31, 2024, as reported in our Annual Report on Form 10-K for the fiscal year ended December 31, 2024.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Product revenue,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consists of revenue from sales of NERLYNX. We sell NERLYNX to a limited number of specialty pharmacies and specialty distributors in the United States. We record revenue at the net sales price, which includes an estimate for variable consideration for which reserves are established. Variable consideration consists of trade discounts and allowances, product returns, provider chargebacks and discounts, government rebates and other incentives.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License revenue consists of consideration earned for performance obligations satisfied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Royalty revenue consists of consideration earned related to product sales made by our sub-licensees in their respective territories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sales consists of third-party manufacturing costs, freight, and indirect overhead costs associated with sales of NERLYNX. Cost of product sales also includes period costs related to royalty charges payable to Pfizer, the amortization of milestone payments made under our license agreement with Pfizer, certain inventory manufacturing services, inventory adjustment charges, unabsorbed manufacturing and overhead costs, and manufacturing variances. Cost of sales includes applicable license termination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(“SG&amp;A expenses”) consist primarily of salaries and payroll-related costs, stock-based compensation expense, professional fees, business insurance, rent, general legal activities, credit loss expense and other corporate expenses. We expense SG&amp;A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Research and development expenses (“R&amp;D expenses”) include costs associated with services provided by consultants who conduct and perform clinical services on our behalf and contract organizations for the manufacturing of clinical materials. During the three and nine months ended September 30, 2025 and 2024, our R&amp;D expenses consisted primarily of clinical research organization (“CRO fees”); fees paid to consultants; salaries and related personnel costs; and stock-based compensation. We expense our R&amp;D expenses as they are incurred. Internal R&amp;D expenses primarily consist of payroll-related costs and also include equipment costs, travel expenses and supplies.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Tariffs: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do not believe that tariffs imposed or proposed to be imposed by the United States, particularly with the European Union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Taxes: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July 4, 2025, the “One Big Beautiful Bill” was signed into law, which includes significant changes to federal tax law and other regulatory provisions that may impact us. As of the date of these financial statements, we have evaluated the impact of the changes to Section 174 – Amortization of research and experimental expenditures on the valuation allowance release. We intend to deduct the capitalized costs over two years. This deduction reduces the amount of net operating losses being utilized but results in a net zero change to the deferred tax asset balance. Therefore, we have concluded that it remains reasonable to maintain the $7.0 million estimate for the valuation allowance release as of September 30, 2025 as the facts and circumstances supporting the deferred tax asset have not materially changed.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Three Months Ended September 30, 2025 Compared to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Total revenue for the three months ended September 30, 2025 was approximately $54.5 million, compared to $80.5 million for the three months ended September 30, 2024. This decrease in total revenue was due to a decrease in product revenue, net of approximately $4.2 million and a decrease in royalty revenue of $21.8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shd w:fill="FFFFFF" w:val="clear"/>
        </w:rPr>
        <w:t xml:space="preserve">Product revenue, </w:t>
      </w:r>
      <w:r>
        <w:rPr>
          <w:rFonts w:ascii="Times New Roman" w:hAnsi="Times New Roman"/>
          <w:i/>
          <w:caps w:val="false"/>
          <w:smallCaps w:val="false"/>
          <w:sz w:val="20"/>
        </w:rPr>
        <w:t>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was approximately $51.9 million for the three months ended September 30, 2025, compared to $56.1 million for the three months ended September 30, 2024. This decrease in product revenue, net, compared to the three months ended September 30, 2024, was attributable to </w:t>
      </w:r>
      <w:r>
        <w:rPr>
          <w:rFonts w:ascii="Times New Roman" w:hAnsi="Times New Roman"/>
          <w:caps w:val="false"/>
          <w:smallCaps w:val="false"/>
          <w:sz w:val="20"/>
          <w:shd w:fill="FFFFFF" w:val="clear"/>
        </w:rPr>
        <w:t xml:space="preserve">a decrease in product supply revenue to our international licensees (reduction in China sales), partially offset by an increase in domestic sales resulting from an 8% </w:t>
      </w:r>
      <w:r>
        <w:rPr>
          <w:rFonts w:ascii="Times New Roman" w:hAnsi="Times New Roman"/>
          <w:caps w:val="false"/>
          <w:smallCaps w:val="false"/>
          <w:sz w:val="20"/>
        </w:rPr>
        <w:t>increase in </w:t>
      </w:r>
      <w:r>
        <w:rPr>
          <w:rFonts w:ascii="Times New Roman" w:hAnsi="Times New Roman"/>
          <w:caps w:val="false"/>
          <w:smallCaps w:val="false"/>
          <w:sz w:val="20"/>
          <w:shd w:fill="FFFFFF" w:val="clear"/>
        </w:rPr>
        <w:t>b</w:t>
      </w:r>
      <w:r>
        <w:rPr>
          <w:rFonts w:ascii="Times New Roman" w:hAnsi="Times New Roman"/>
          <w:caps w:val="false"/>
          <w:smallCaps w:val="false"/>
          <w:sz w:val="20"/>
        </w:rPr>
        <w:t>ottles of NERLYNX sold in the U.S. market and an increase in net selling price. This increase in gross domestic sales was partially offset by greater</w:t>
      </w:r>
      <w:r>
        <w:rPr>
          <w:rFonts w:ascii="Times New Roman" w:hAnsi="Times New Roman"/>
          <w:caps w:val="false"/>
          <w:smallCaps w:val="false"/>
          <w:sz w:val="20"/>
          <w:shd w:fill="FFFFFF" w:val="clear"/>
        </w:rPr>
        <w:t> deductions to gross revenue for variable consideration, primarily related to government chargebacks.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Royalty revenue was approximately $2.6 million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w:t>
      </w:r>
      <w:r>
        <w:rPr>
          <w:rFonts w:ascii="Times New Roman" w:hAnsi="Times New Roman"/>
          <w:caps w:val="false"/>
          <w:smallCaps w:val="false"/>
          <w:sz w:val="20"/>
        </w:rPr>
        <w:t>compared to approximately $24.4 million for the three months ended September 30, 2024. The decrease was primarily due to timing of sales made into China by our sub-licensee.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Cost of sales was approximately $12.2 million 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compared to approximately $29.1 million for the three months ended </w:t>
      </w:r>
      <w:r>
        <w:rPr>
          <w:rFonts w:ascii="Times New Roman" w:hAnsi="Times New Roman"/>
          <w:caps w:val="false"/>
          <w:smallCaps w:val="false"/>
          <w:sz w:val="20"/>
        </w:rPr>
        <w:t>September 30, 2024. The decrease was primarily due to timing of sales made into China by our sub-licensee and the related cost of products shipped and royalty expense.</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SG&amp;A expenses were approximately $16.8 million for the three months ended September 30, 2025, compared to approximately $16.8 million for the three months ended September 30, 2024. SG&amp;A expenses for the three months ended September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815"/>
        <w:gridCol w:w="60"/>
        <w:gridCol w:w="195"/>
        <w:gridCol w:w="920"/>
        <w:gridCol w:w="124"/>
        <w:gridCol w:w="93"/>
        <w:gridCol w:w="195"/>
        <w:gridCol w:w="920"/>
        <w:gridCol w:w="80"/>
        <w:gridCol w:w="60"/>
        <w:gridCol w:w="221"/>
        <w:gridCol w:w="698"/>
        <w:gridCol w:w="80"/>
        <w:gridCol w:w="60"/>
        <w:gridCol w:w="101"/>
        <w:gridCol w:w="818"/>
        <w:gridCol w:w="185"/>
      </w:tblGrid>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Payroll and related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8,445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(213</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and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meetings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1,176</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w:t>
      </w:r>
      <w:r>
        <w:rPr>
          <w:rFonts w:ascii="Times New Roman;Times;serif" w:hAnsi="Times New Roman;Times;serif"/>
          <w:caps w:val="false"/>
          <w:smallCaps w:val="false"/>
          <w:sz w:val="20"/>
          <w:shd w:fill="FFFFFF" w:val="clear"/>
        </w:rPr>
        <w:t xml:space="preserve">A expenses remained virtually unchanged for the three months ended </w:t>
      </w:r>
      <w:r>
        <w:rPr>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shd w:fill="FFFFFF" w:val="clear"/>
        </w:rPr>
        <w:t xml:space="preserve">, compared to the same period in </w:t>
      </w:r>
      <w:r>
        <w:rPr>
          <w:rFonts w:ascii="Times New Roman;Times;serif" w:hAnsi="Times New Roman;Times;serif"/>
          <w:caps w:val="false"/>
          <w:smallCaps w:val="false"/>
          <w:sz w:val="20"/>
        </w:rPr>
        <w:t>2024</w:t>
      </w:r>
      <w:r>
        <w:rPr>
          <w:rFonts w:ascii="Times New Roman;Times;serif" w:hAnsi="Times New Roman;Times;serif"/>
          <w:caps w:val="false"/>
          <w:smallCaps w:val="false"/>
          <w:sz w:val="20"/>
          <w:shd w:fill="FFFFFF" w:val="clear"/>
        </w:rPr>
        <w:t>,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credit loss recovery of approximately $0.2 million, primarily related to the payment history of a customer receivable;</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decrease in professional fees and expenses of approximately $0.3 million, pri</w:t>
            </w:r>
            <w:r>
              <w:rPr>
                <w:rFonts w:ascii="Times New Roman;Times;serif" w:hAnsi="Times New Roman;Times;serif"/>
                <w:sz w:val="20"/>
                <w:shd w:fill="FFFFFF" w:val="clear"/>
              </w:rPr>
              <w:t>marily related to legal fees associated with the AstraZeneca litigation in the prior year;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decrease in</w:t>
            </w:r>
            <w:r>
              <w:rPr>
                <w:rFonts w:ascii="Times New Roman;Times;serif" w:hAnsi="Times New Roman;Times;serif"/>
                <w:sz w:val="20"/>
                <w:shd w:fill="FFFFFF" w:val="clear"/>
              </w:rPr>
              <w:t> </w:t>
            </w:r>
            <w:r>
              <w:rPr>
                <w:rFonts w:ascii="Times New Roman;Times;serif" w:hAnsi="Times New Roman;Times;serif"/>
                <w:sz w:val="20"/>
              </w:rPr>
              <w:t>stock-based compensation expense of approximately $0.4 million, primarily due to newer awards at a lower grant price.</w:t>
            </w:r>
          </w:p>
        </w:tc>
      </w:tr>
    </w:tbl>
    <w:p>
      <w:pPr>
        <w:pStyle w:val="TextBody"/>
        <w:bidi w:val="0"/>
        <w:spacing w:before="0" w:after="0"/>
        <w:ind w:left="0" w:right="0" w:hanging="0"/>
        <w:jc w:val="left"/>
        <w:rPr/>
      </w:pPr>
      <w:r>
        <w:rPr/>
        <w:t> </w:t>
      </w:r>
    </w:p>
    <w:p>
      <w:pPr>
        <w:pStyle w:val="TextBody"/>
        <w:bidi w:val="0"/>
        <w:spacing w:before="0" w:after="0"/>
        <w:ind w:left="165"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caps w:val="false"/>
          <w:smallCaps w:val="false"/>
          <w:sz w:val="20"/>
        </w:rPr>
        <w:t xml:space="preserve">Partially offset by: </w:t>
      </w:r>
    </w:p>
    <w:p>
      <w:pPr>
        <w:pStyle w:val="TextBody"/>
        <w:bidi w:val="0"/>
        <w:spacing w:before="0" w:after="0"/>
        <w:ind w:left="0" w:right="0" w:hanging="0"/>
        <w:jc w:val="left"/>
        <w:rPr/>
      </w:pPr>
      <w:r>
        <w:rPr/>
        <w:t> </w:t>
      </w:r>
    </w:p>
    <w:p>
      <w:pPr>
        <w:pStyle w:val="TextBody"/>
        <w:bidi w:val="0"/>
        <w:spacing w:before="0" w:after="0"/>
        <w:ind w:left="165"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payroll and related costs of approximately $0.8 million, primarily due to an increase in bonus related payroll costs</w:t>
            </w:r>
            <w:r>
              <w:rPr>
                <w:rFonts w:ascii="Times New Roman;Times;serif" w:hAnsi="Times New Roman;Times;serif"/>
                <w:sz w:val="20"/>
                <w:shd w:fill="FFFFFF" w:val="clear"/>
              </w:rPr>
              <w:t> as well as increases in our healthcare insurance premiums.</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Research and development expenses:</w:t>
      </w:r>
    </w:p>
    <w:p>
      <w:pPr>
        <w:pStyle w:val="TextBody"/>
        <w:bidi w:val="0"/>
        <w:spacing w:before="0" w:after="0"/>
        <w:ind w:left="0" w:right="0" w:firstLine="540"/>
        <w:jc w:val="left"/>
        <w:rPr/>
      </w:pPr>
      <w:r>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expenses were approxi</w:t>
      </w:r>
      <w:r>
        <w:rPr>
          <w:rFonts w:ascii="Times New Roman" w:hAnsi="Times New Roman"/>
          <w:caps w:val="false"/>
          <w:smallCaps w:val="false"/>
          <w:sz w:val="20"/>
          <w:shd w:fill="FFFFFF" w:val="clear"/>
        </w:rPr>
        <w:t>mately </w:t>
      </w:r>
      <w:r>
        <w:rPr>
          <w:rFonts w:ascii="Times New Roman" w:hAnsi="Times New Roman"/>
          <w:caps w:val="false"/>
          <w:smallCaps w:val="false"/>
          <w:sz w:val="20"/>
        </w:rPr>
        <w:t>$15.9 million</w:t>
      </w:r>
      <w:r>
        <w:rPr>
          <w:rFonts w:ascii="Times New Roman" w:hAnsi="Times New Roman"/>
          <w:caps w:val="false"/>
          <w:smallCaps w:val="false"/>
          <w:sz w:val="20"/>
          <w:shd w:fill="FFFFFF" w:val="clear"/>
        </w:rPr>
        <w:t xml:space="preserve"> for the </w:t>
      </w:r>
      <w:r>
        <w:rPr>
          <w:rFonts w:ascii="Times New Roman" w:hAnsi="Times New Roman"/>
          <w:caps w:val="false"/>
          <w:smallCaps w:val="false"/>
          <w:sz w:val="20"/>
        </w:rPr>
        <w:t xml:space="preserve">three months ended September 30, 2025, compared to approximately $12.6 </w:t>
      </w:r>
      <w:r>
        <w:rPr>
          <w:rFonts w:ascii="Times New Roman" w:hAnsi="Times New Roman"/>
          <w:caps w:val="false"/>
          <w:smallCaps w:val="false"/>
          <w:sz w:val="20"/>
          <w:shd w:fill="FFFFFF" w:val="clear"/>
        </w:rPr>
        <w:t>million for</w:t>
      </w:r>
      <w:r>
        <w:rPr>
          <w:rFonts w:ascii="Times New Roman" w:hAnsi="Times New Roman"/>
          <w:caps w:val="false"/>
          <w:smallCaps w:val="false"/>
          <w:sz w:val="20"/>
        </w:rPr>
        <w:t xml:space="preserve"> the three months ended September 30, 2024. R&amp;D expenses for the three months ended September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7834" w:type="dxa"/>
        <w:jc w:val="left"/>
        <w:tblInd w:w="0" w:type="dxa"/>
        <w:tblLayout w:type="fixed"/>
        <w:tblCellMar>
          <w:top w:w="0" w:type="dxa"/>
          <w:left w:w="0" w:type="dxa"/>
          <w:bottom w:w="0" w:type="dxa"/>
          <w:right w:w="0" w:type="dxa"/>
        </w:tblCellMar>
      </w:tblPr>
      <w:tblGrid>
        <w:gridCol w:w="3065"/>
        <w:gridCol w:w="60"/>
        <w:gridCol w:w="197"/>
        <w:gridCol w:w="932"/>
        <w:gridCol w:w="94"/>
        <w:gridCol w:w="94"/>
        <w:gridCol w:w="197"/>
        <w:gridCol w:w="932"/>
        <w:gridCol w:w="60"/>
        <w:gridCol w:w="60"/>
        <w:gridCol w:w="188"/>
        <w:gridCol w:w="731"/>
        <w:gridCol w:w="60"/>
        <w:gridCol w:w="60"/>
        <w:gridCol w:w="125"/>
        <w:gridCol w:w="794"/>
        <w:gridCol w:w="185"/>
      </w:tblGrid>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R&amp;D</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and contractors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w:t>
      </w:r>
      <w:r>
        <w:rPr>
          <w:rFonts w:ascii="Times New Roman" w:hAnsi="Times New Roman"/>
          <w:caps w:val="false"/>
          <w:smallCaps w:val="false"/>
          <w:sz w:val="20"/>
          <w:shd w:fill="FFFFFF" w:val="clear"/>
        </w:rPr>
        <w:t>enses increased by a</w:t>
      </w:r>
      <w:r>
        <w:rPr>
          <w:rFonts w:ascii="Times New Roman" w:hAnsi="Times New Roman"/>
          <w:caps w:val="false"/>
          <w:smallCaps w:val="false"/>
          <w:sz w:val="20"/>
        </w:rPr>
        <w:t>pproxim</w:t>
      </w:r>
      <w:r>
        <w:rPr>
          <w:rFonts w:ascii="Times New Roman" w:hAnsi="Times New Roman"/>
          <w:caps w:val="false"/>
          <w:smallCaps w:val="false"/>
          <w:sz w:val="20"/>
          <w:shd w:fill="FFFFFF" w:val="clear"/>
        </w:rPr>
        <w:t>ately </w:t>
      </w:r>
      <w:r>
        <w:rPr>
          <w:rFonts w:ascii="Times New Roman" w:hAnsi="Times New Roman"/>
          <w:caps w:val="false"/>
          <w:smallCaps w:val="false"/>
          <w:sz w:val="20"/>
        </w:rPr>
        <w:t>$3.4 million</w:t>
      </w:r>
      <w:r>
        <w:rPr>
          <w:rFonts w:ascii="Times New Roman" w:hAnsi="Times New Roman"/>
          <w:caps w:val="false"/>
          <w:smallCaps w:val="false"/>
          <w:sz w:val="20"/>
          <w:shd w:fill="FFFFFF" w:val="clear"/>
        </w:rPr>
        <w:t> for the three m</w:t>
      </w:r>
      <w:r>
        <w:rPr>
          <w:rFonts w:ascii="Times New Roman" w:hAnsi="Times New Roman"/>
          <w:caps w:val="false"/>
          <w:smallCaps w:val="false"/>
          <w:sz w:val="20"/>
        </w:rPr>
        <w:t>onths ended September 30, 2025, compared to the same period in 2024,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170"/>
        <w:gridCol w:w="9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clinical trial expense of approximately $1.8 million, primarily due to increased alisertib study activity;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increase in internal R&amp;D expense of approximatel</w:t>
            </w:r>
            <w:r>
              <w:rPr>
                <w:rFonts w:ascii="Times New Roman;Times;serif" w:hAnsi="Times New Roman;Times;serif"/>
                <w:sz w:val="20"/>
                <w:shd w:fill="FFFFFF" w:val="clear"/>
              </w:rPr>
              <w:t>y $0.9 million, primarily due to increased payroll and healthcare costs; and</w:t>
            </w:r>
          </w:p>
        </w:tc>
      </w:tr>
    </w:tbl>
    <w:p>
      <w:pPr>
        <w:pStyle w:val="TextBody"/>
        <w:bidi w:val="0"/>
        <w:spacing w:before="0" w:after="0"/>
        <w:ind w:left="0" w:right="0" w:firstLine="54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consultants and contractors expense of approximately $0.6 million, primarily</w:t>
            </w:r>
            <w:r>
              <w:rPr>
                <w:rFonts w:ascii="Times New Roman" w:hAnsi="Times New Roman"/>
                <w:sz w:val="20"/>
                <w:shd w:fill="FFFFFF" w:val="clear"/>
              </w:rPr>
              <w:t xml:space="preserve"> due to increased alisertib study activity.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Other income (expenses):</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075"/>
        <w:gridCol w:w="60"/>
        <w:gridCol w:w="206"/>
        <w:gridCol w:w="902"/>
        <w:gridCol w:w="132"/>
        <w:gridCol w:w="99"/>
        <w:gridCol w:w="206"/>
        <w:gridCol w:w="902"/>
        <w:gridCol w:w="80"/>
        <w:gridCol w:w="60"/>
        <w:gridCol w:w="188"/>
        <w:gridCol w:w="731"/>
        <w:gridCol w:w="80"/>
        <w:gridCol w:w="60"/>
        <w:gridCol w:w="110"/>
        <w:gridCol w:w="809"/>
        <w:gridCol w:w="185"/>
      </w:tblGrid>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income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4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13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we recognized approximately $1.0 million in interest income, compared to approximately $1.3 million of interest income for the three m</w:t>
      </w:r>
      <w:r>
        <w:rPr>
          <w:rFonts w:ascii="Times New Roman" w:hAnsi="Times New Roman"/>
          <w:caps w:val="false"/>
          <w:smallCaps w:val="false"/>
          <w:sz w:val="20"/>
        </w:rPr>
        <w:t>onths ended September 30, 2024</w:t>
      </w:r>
      <w:r>
        <w:rPr>
          <w:rFonts w:ascii="Times New Roman" w:hAnsi="Times New Roman"/>
          <w:caps w:val="false"/>
          <w:smallCaps w:val="false"/>
          <w:sz w:val="20"/>
          <w:shd w:fill="FFFFFF" w:val="clear"/>
        </w:rPr>
        <w:t>. The decreas</w:t>
      </w:r>
      <w:r>
        <w:rPr>
          <w:rFonts w:ascii="Times New Roman" w:hAnsi="Times New Roman"/>
          <w:caps w:val="false"/>
          <w:smallCaps w:val="false"/>
          <w:sz w:val="20"/>
        </w:rPr>
        <w:t>e in interest incom</w:t>
      </w:r>
      <w:r>
        <w:rPr>
          <w:rFonts w:ascii="Times New Roman" w:hAnsi="Times New Roman"/>
          <w:caps w:val="false"/>
          <w:smallCaps w:val="false"/>
          <w:sz w:val="20"/>
          <w:shd w:fill="FFFFFF" w:val="clear"/>
        </w:rPr>
        <w:t>e was primarily the result of lower investment balances and timing of investments.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 xml:space="preserve">September 30, 2025 </w:t>
      </w:r>
      <w:r>
        <w:rPr>
          <w:rFonts w:ascii="Times New Roman" w:hAnsi="Times New Roman"/>
          <w:caps w:val="false"/>
          <w:smallCaps w:val="false"/>
          <w:sz w:val="20"/>
          <w:shd w:fill="FFFFFF" w:val="clear"/>
        </w:rPr>
        <w:t>, we recognized approximately $1.5 million in interest expense, compared to approximately $3.1 million of interest expense for the three m</w:t>
      </w:r>
      <w:r>
        <w:rPr>
          <w:rFonts w:ascii="Times New Roman" w:hAnsi="Times New Roman"/>
          <w:caps w:val="false"/>
          <w:smallCaps w:val="false"/>
          <w:sz w:val="20"/>
        </w:rPr>
        <w:t xml:space="preserve">onths ended September 30, 2024 </w:t>
      </w:r>
      <w:r>
        <w:rPr>
          <w:rFonts w:ascii="Times New Roman" w:hAnsi="Times New Roman"/>
          <w:caps w:val="false"/>
          <w:smallCaps w:val="false"/>
          <w:sz w:val="20"/>
          <w:shd w:fill="FFFFFF" w:val="clear"/>
        </w:rPr>
        <w:t>. The decrease in interest expense was primarily related to a lower debt balance as we began paying down our debt principal during the three months ended September 30, 2024.</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shd w:fill="FFFFFF" w:val="clear"/>
        </w:rPr>
        <w:t>Other income: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months ended </w:t>
      </w:r>
      <w:r>
        <w:rPr>
          <w:rFonts w:ascii="Times New Roman" w:hAnsi="Times New Roman"/>
          <w:caps w:val="false"/>
          <w:smallCaps w:val="false"/>
          <w:sz w:val="20"/>
        </w:rPr>
        <w:t xml:space="preserve">September 30, 2025 </w:t>
      </w:r>
      <w:r>
        <w:rPr>
          <w:rFonts w:ascii="Times New Roman" w:hAnsi="Times New Roman"/>
          <w:caps w:val="false"/>
          <w:smallCaps w:val="false"/>
          <w:sz w:val="20"/>
          <w:shd w:fill="FFFFFF" w:val="clear"/>
        </w:rPr>
        <w:t>, we recognized approximately $0.1 million in other income, compared to approximately $0.3 million of other income for the three m</w:t>
      </w:r>
      <w:r>
        <w:rPr>
          <w:rFonts w:ascii="Times New Roman" w:hAnsi="Times New Roman"/>
          <w:caps w:val="false"/>
          <w:smallCaps w:val="false"/>
          <w:sz w:val="20"/>
        </w:rPr>
        <w:t xml:space="preserve">onths ended September 30, 2024 </w:t>
      </w:r>
      <w:r>
        <w:rPr>
          <w:rFonts w:ascii="Times New Roman" w:hAnsi="Times New Roman"/>
          <w:caps w:val="false"/>
          <w:smallCaps w:val="false"/>
          <w:sz w:val="20"/>
          <w:shd w:fill="FFFFFF" w:val="clear"/>
        </w:rPr>
        <w:t xml:space="preserve">. The decrease in </w:t>
      </w:r>
      <w:r>
        <w:rPr>
          <w:rFonts w:ascii="Times New Roman" w:hAnsi="Times New Roman"/>
          <w:caps w:val="false"/>
          <w:smallCaps w:val="false"/>
          <w:sz w:val="20"/>
        </w:rPr>
        <w:t xml:space="preserve">other income was </w:t>
      </w:r>
      <w:r>
        <w:rPr>
          <w:rFonts w:ascii="Times New Roman" w:hAnsi="Times New Roman"/>
          <w:caps w:val="false"/>
          <w:smallCaps w:val="false"/>
          <w:sz w:val="20"/>
          <w:shd w:fill="FFFFFF" w:val="clear"/>
        </w:rPr>
        <w:t>primarily due to unfavorable exchange rates in Euro-denominated transactions.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u w:val="single"/>
        </w:rPr>
      </w:pPr>
      <w:r>
        <w:rPr>
          <w:rFonts w:ascii="Times New Roman" w:hAnsi="Times New Roman"/>
          <w:i/>
          <w:caps w:val="false"/>
          <w:smallCaps w:val="false"/>
          <w:sz w:val="20"/>
          <w:u w:val="single"/>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Total revenue for the nine months ended September 30, 2025 was approximately $152.9 million, compared to $171.4 million for the nine months ended September 30, 2024. This $18.5 million decrease in total revenue was due to a decrease in royalty revenue of $21.9 million, partially offset by an increase in product revenue, net of approximately $3.4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shd w:fill="FFFFFF" w:val="clear"/>
        </w:rPr>
        <w:t xml:space="preserve">Product revenue, </w:t>
      </w:r>
      <w:r>
        <w:rPr>
          <w:rFonts w:ascii="Times New Roman" w:hAnsi="Times New Roman"/>
          <w:i/>
          <w:caps w:val="false"/>
          <w:smallCaps w:val="false"/>
          <w:sz w:val="20"/>
        </w:rPr>
        <w:t>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was app</w:t>
      </w:r>
      <w:r>
        <w:rPr>
          <w:rFonts w:ascii="Times New Roman" w:hAnsi="Times New Roman"/>
          <w:caps w:val="false"/>
          <w:smallCaps w:val="false"/>
          <w:sz w:val="20"/>
          <w:shd w:fill="FFFFFF" w:val="clear"/>
        </w:rPr>
        <w:t>roximately $144.2 millio</w:t>
      </w:r>
      <w:r>
        <w:rPr>
          <w:rFonts w:ascii="Times New Roman" w:hAnsi="Times New Roman"/>
          <w:caps w:val="false"/>
          <w:smallCaps w:val="false"/>
          <w:sz w:val="20"/>
        </w:rPr>
        <w:t>n for the nine months ended September 30, 2025, compared t</w:t>
      </w:r>
      <w:r>
        <w:rPr>
          <w:rFonts w:ascii="Times New Roman" w:hAnsi="Times New Roman"/>
          <w:caps w:val="false"/>
          <w:smallCaps w:val="false"/>
          <w:sz w:val="20"/>
          <w:shd w:fill="FFFFFF" w:val="clear"/>
        </w:rPr>
        <w:t>o $140.8 million</w:t>
      </w:r>
      <w:r>
        <w:rPr>
          <w:rFonts w:ascii="Times New Roman" w:hAnsi="Times New Roman"/>
          <w:caps w:val="false"/>
          <w:smallCaps w:val="false"/>
          <w:sz w:val="20"/>
        </w:rPr>
        <w:t xml:space="preserve"> for the nine months ended September 30, 2024. This increase in product revenue, net, compared to the nine months ended September 30, 2024, was attributable to an </w:t>
      </w:r>
      <w:r>
        <w:rPr>
          <w:rFonts w:ascii="Times New Roman" w:hAnsi="Times New Roman"/>
          <w:caps w:val="false"/>
          <w:smallCaps w:val="false"/>
          <w:sz w:val="20"/>
          <w:shd w:fill="FFFFFF" w:val="clear"/>
        </w:rPr>
        <w:t xml:space="preserve">increase in domestic sales resulting from a 3% </w:t>
      </w:r>
      <w:r>
        <w:rPr>
          <w:rFonts w:ascii="Times New Roman" w:hAnsi="Times New Roman"/>
          <w:caps w:val="false"/>
          <w:smallCaps w:val="false"/>
          <w:sz w:val="20"/>
        </w:rPr>
        <w:t>increase in </w:t>
      </w:r>
      <w:r>
        <w:rPr>
          <w:rFonts w:ascii="Times New Roman" w:hAnsi="Times New Roman"/>
          <w:caps w:val="false"/>
          <w:smallCaps w:val="false"/>
          <w:sz w:val="20"/>
          <w:shd w:fill="FFFFFF" w:val="clear"/>
        </w:rPr>
        <w:t>b</w:t>
      </w:r>
      <w:r>
        <w:rPr>
          <w:rFonts w:ascii="Times New Roman" w:hAnsi="Times New Roman"/>
          <w:caps w:val="false"/>
          <w:smallCaps w:val="false"/>
          <w:sz w:val="20"/>
        </w:rPr>
        <w:t>ottles of NERLYNX sold in the U.S. market and an increase in net selling price, partially offset by an increase in deductions to gross r</w:t>
      </w:r>
      <w:r>
        <w:rPr>
          <w:rFonts w:ascii="Times New Roman" w:hAnsi="Times New Roman"/>
          <w:caps w:val="false"/>
          <w:smallCaps w:val="false"/>
          <w:sz w:val="20"/>
          <w:shd w:fill="FFFFFF" w:val="clear"/>
        </w:rPr>
        <w:t>evenue for variable consideration, primarily related to government chargebacks.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Royalty revenue was approximately $8.7 million and $30.6 million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and</w:t>
      </w:r>
      <w:r>
        <w:rPr>
          <w:rFonts w:ascii="Times New Roman" w:hAnsi="Times New Roman"/>
          <w:caps w:val="false"/>
          <w:smallCaps w:val="false"/>
          <w:sz w:val="20"/>
        </w:rPr>
        <w:t> September 30, 2024 respectively. The </w:t>
      </w:r>
      <w:r>
        <w:rPr>
          <w:rFonts w:ascii="Times New Roman" w:hAnsi="Times New Roman"/>
          <w:caps w:val="false"/>
          <w:smallCaps w:val="false"/>
          <w:sz w:val="20"/>
          <w:shd w:fill="FFFFFF" w:val="clear"/>
        </w:rPr>
        <w:t>decrease in royalty revenue was primarily due to a decrease in sales to our international licensees (reduction in China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Cost of sales was approximately $35.0 million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compared to approximately $50.5 million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2024</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The decrease was primarily due to timing of sales made into China by our sub-licensee and the related cost of products shipped and royalty expense.</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Selling, 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SG&amp;A expenses were approximately $52.5 million for the nine months ended September 30, 2025, compared to approximately $63.5 million for the nine months ended September 30, 2024. SG&amp;A expenses for the nine months ended September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815"/>
        <w:gridCol w:w="60"/>
        <w:gridCol w:w="185"/>
        <w:gridCol w:w="875"/>
        <w:gridCol w:w="118"/>
        <w:gridCol w:w="89"/>
        <w:gridCol w:w="185"/>
        <w:gridCol w:w="875"/>
        <w:gridCol w:w="80"/>
        <w:gridCol w:w="60"/>
        <w:gridCol w:w="148"/>
        <w:gridCol w:w="771"/>
        <w:gridCol w:w="80"/>
        <w:gridCol w:w="60"/>
        <w:gridCol w:w="101"/>
        <w:gridCol w:w="818"/>
        <w:gridCol w:w="185"/>
      </w:tblGrid>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Selling,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related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25,749</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 recovery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13,861</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and meetings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Facilities and equipment costs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52,468</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w:t>
      </w:r>
      <w:r>
        <w:rPr>
          <w:rFonts w:ascii="Times New Roman;Times;serif" w:hAnsi="Times New Roman;Times;serif"/>
          <w:caps w:val="false"/>
          <w:smallCaps w:val="false"/>
          <w:sz w:val="20"/>
          <w:shd w:fill="FFFFFF" w:val="clear"/>
        </w:rPr>
        <w:t>A expenses decreased by approximately $11.1 million for the </w:t>
      </w:r>
      <w:r>
        <w:rPr>
          <w:rFonts w:ascii="Times New Roman;Times;serif" w:hAnsi="Times New Roman;Times;serif"/>
          <w:caps w:val="false"/>
          <w:smallCaps w:val="false"/>
          <w:sz w:val="20"/>
        </w:rPr>
        <w:t>nine</w:t>
      </w:r>
      <w:r>
        <w:rPr>
          <w:rFonts w:ascii="Times New Roman;Times;serif" w:hAnsi="Times New Roman;Times;serif"/>
          <w:caps w:val="false"/>
          <w:smallCaps w:val="false"/>
          <w:sz w:val="20"/>
          <w:shd w:fill="FFFFFF" w:val="clear"/>
        </w:rPr>
        <w:t xml:space="preserve"> months ended </w:t>
      </w:r>
      <w:r>
        <w:rPr>
          <w:rFonts w:ascii="Times New Roman;Times;serif" w:hAnsi="Times New Roman;Times;serif"/>
          <w:caps w:val="false"/>
          <w:smallCaps w:val="false"/>
          <w:sz w:val="20"/>
        </w:rPr>
        <w:t>September 30, 2025</w:t>
      </w:r>
      <w:r>
        <w:rPr>
          <w:rFonts w:ascii="Times New Roman;Times;serif" w:hAnsi="Times New Roman;Times;serif"/>
          <w:caps w:val="false"/>
          <w:smallCaps w:val="false"/>
          <w:sz w:val="20"/>
          <w:shd w:fill="FFFFFF" w:val="clear"/>
        </w:rPr>
        <w:t xml:space="preserve">, compared to the same period in </w:t>
      </w:r>
      <w:r>
        <w:rPr>
          <w:rFonts w:ascii="Times New Roman;Times;serif" w:hAnsi="Times New Roman;Times;serif"/>
          <w:caps w:val="false"/>
          <w:smallCaps w:val="false"/>
          <w:sz w:val="20"/>
        </w:rPr>
        <w:t>2024</w:t>
      </w:r>
      <w:r>
        <w:rPr>
          <w:rFonts w:ascii="Times New Roman;Times;serif" w:hAnsi="Times New Roman;Times;serif"/>
          <w:caps w:val="false"/>
          <w:smallCaps w:val="false"/>
          <w:sz w:val="20"/>
          <w:shd w:fill="FFFFFF" w:val="clear"/>
        </w:rPr>
        <w:t>,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provision for credit loss of approximately $0.2 million, primarily related to the payment history of a customer receivable;</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decrease in professional fees and expenses of approximately $11.3 million, primarily related to legal fees associated with the AstraZeneca litigation in the prior year;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decrease in</w:t>
            </w:r>
            <w:r>
              <w:rPr>
                <w:rFonts w:ascii="Times New Roman;Times;serif" w:hAnsi="Times New Roman;Times;serif"/>
                <w:sz w:val="20"/>
                <w:shd w:fill="FFFFFF" w:val="clear"/>
              </w:rPr>
              <w:t> </w:t>
            </w:r>
            <w:r>
              <w:rPr>
                <w:rFonts w:ascii="Times New Roman;Times;serif" w:hAnsi="Times New Roman;Times;serif"/>
                <w:sz w:val="20"/>
              </w:rPr>
              <w:t>stock-based compensation expense of approximately $1.1 million, primarily due to newer awards at a lower grant price.</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Partially offset by:</w:t>
      </w:r>
    </w:p>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payroll and related costs of approximately $2.0 million, primarily due to the severance costs related to the departure of our Chief Commercial Officer</w:t>
            </w:r>
            <w:r>
              <w:rPr>
                <w:rFonts w:ascii="Times New Roman" w:hAnsi="Times New Roman"/>
                <w:sz w:val="20"/>
                <w:shd w:fill="FFFFFF" w:val="clear"/>
              </w:rPr>
              <w:t>, increased headcount in our sales team as well as increases in our healthcare insurance premiums.</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expenses were approxi</w:t>
      </w:r>
      <w:r>
        <w:rPr>
          <w:rFonts w:ascii="Times New Roman" w:hAnsi="Times New Roman"/>
          <w:caps w:val="false"/>
          <w:smallCaps w:val="false"/>
          <w:sz w:val="20"/>
          <w:shd w:fill="FFFFFF" w:val="clear"/>
        </w:rPr>
        <w:t xml:space="preserve">mately $45.2 million for the </w:t>
      </w:r>
      <w:r>
        <w:rPr>
          <w:rFonts w:ascii="Times New Roman" w:hAnsi="Times New Roman"/>
          <w:caps w:val="false"/>
          <w:smallCaps w:val="false"/>
          <w:sz w:val="20"/>
        </w:rPr>
        <w:t>nine months ended September 30, 2025, compared to approximately $39.8 million</w:t>
      </w:r>
      <w:r>
        <w:rPr>
          <w:rFonts w:ascii="Times New Roman" w:hAnsi="Times New Roman"/>
          <w:caps w:val="false"/>
          <w:smallCaps w:val="false"/>
          <w:sz w:val="20"/>
          <w:shd w:fill="FFFFFF" w:val="clear"/>
        </w:rPr>
        <w:t> for</w:t>
      </w:r>
      <w:r>
        <w:rPr>
          <w:rFonts w:ascii="Times New Roman" w:hAnsi="Times New Roman"/>
          <w:caps w:val="false"/>
          <w:smallCaps w:val="false"/>
          <w:sz w:val="20"/>
        </w:rPr>
        <w:t xml:space="preserve"> the nine months ended September 30, 2024. R&amp;D expenses for the nine months ended September 30, 2025 and 2024, were as follows:</w:t>
      </w:r>
    </w:p>
    <w:p>
      <w:pPr>
        <w:pStyle w:val="TextBody"/>
        <w:bidi w:val="0"/>
        <w:spacing w:before="0" w:after="0"/>
        <w:ind w:left="0" w:right="0" w:hanging="0"/>
        <w:jc w:val="left"/>
        <w:rPr>
          <w:caps w:val="false"/>
          <w:smallCaps w:val="false"/>
        </w:rPr>
      </w:pPr>
      <w:r>
        <w:rPr>
          <w:caps w:val="false"/>
          <w:smallCaps w:val="false"/>
        </w:rPr>
        <w:t> </w:t>
      </w:r>
    </w:p>
    <w:tbl>
      <w:tblPr>
        <w:tblW w:w="7734" w:type="dxa"/>
        <w:jc w:val="left"/>
        <w:tblInd w:w="0" w:type="dxa"/>
        <w:tblLayout w:type="fixed"/>
        <w:tblCellMar>
          <w:top w:w="0" w:type="dxa"/>
          <w:left w:w="0" w:type="dxa"/>
          <w:bottom w:w="0" w:type="dxa"/>
          <w:right w:w="0" w:type="dxa"/>
        </w:tblCellMar>
      </w:tblPr>
      <w:tblGrid>
        <w:gridCol w:w="3065"/>
        <w:gridCol w:w="60"/>
        <w:gridCol w:w="187"/>
        <w:gridCol w:w="886"/>
        <w:gridCol w:w="90"/>
        <w:gridCol w:w="90"/>
        <w:gridCol w:w="187"/>
        <w:gridCol w:w="886"/>
        <w:gridCol w:w="60"/>
        <w:gridCol w:w="60"/>
        <w:gridCol w:w="188"/>
        <w:gridCol w:w="731"/>
        <w:gridCol w:w="80"/>
        <w:gridCol w:w="60"/>
        <w:gridCol w:w="125"/>
        <w:gridCol w:w="794"/>
        <w:gridCol w:w="185"/>
      </w:tblGrid>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Research and development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3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 R&amp;D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 and contractors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w:t>
      </w:r>
      <w:r>
        <w:rPr>
          <w:rFonts w:ascii="Times New Roman" w:hAnsi="Times New Roman"/>
          <w:caps w:val="false"/>
          <w:smallCaps w:val="false"/>
          <w:sz w:val="20"/>
          <w:shd w:fill="FFFFFF" w:val="clear"/>
        </w:rPr>
        <w:t>enses increased by a</w:t>
      </w:r>
      <w:r>
        <w:rPr>
          <w:rFonts w:ascii="Times New Roman" w:hAnsi="Times New Roman"/>
          <w:caps w:val="false"/>
          <w:smallCaps w:val="false"/>
          <w:sz w:val="20"/>
        </w:rPr>
        <w:t>pproxim</w:t>
      </w:r>
      <w:r>
        <w:rPr>
          <w:rFonts w:ascii="Times New Roman" w:hAnsi="Times New Roman"/>
          <w:caps w:val="false"/>
          <w:smallCaps w:val="false"/>
          <w:sz w:val="20"/>
          <w:shd w:fill="FFFFFF" w:val="clear"/>
        </w:rPr>
        <w:t xml:space="preserve">ately $5.5 million compared to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w:t>
      </w:r>
      <w:r>
        <w:rPr>
          <w:rFonts w:ascii="Times New Roman" w:hAnsi="Times New Roman"/>
          <w:caps w:val="false"/>
          <w:smallCaps w:val="false"/>
          <w:sz w:val="20"/>
        </w:rPr>
        <w:t>onths ended September 30, 2024,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an increase in clinical trial expense of approximately $3.4 million, primarily due to increased alisertib study activity;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increase in consultants and contractors expense of approximately $1.2 million, primarily due to increased alisertib stud</w:t>
            </w:r>
            <w:r>
              <w:rPr>
                <w:rFonts w:ascii="Times New Roman;Times;serif" w:hAnsi="Times New Roman;Times;serif"/>
                <w:sz w:val="20"/>
                <w:shd w:fill="FFFFFF" w:val="clear"/>
              </w:rPr>
              <w:t>y activity.</w:t>
            </w:r>
          </w:p>
        </w:tc>
      </w:tr>
    </w:tbl>
    <w:p>
      <w:pPr>
        <w:pStyle w:val="TextBody"/>
        <w:bidi w:val="0"/>
        <w:spacing w:before="0" w:after="0"/>
        <w:ind w:left="0" w:right="0" w:firstLine="540"/>
        <w:jc w:val="left"/>
        <w:rPr/>
      </w:pPr>
      <w:r>
        <w:rPr/>
        <w:t>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Other income (expenses):</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2075"/>
        <w:gridCol w:w="60"/>
        <w:gridCol w:w="196"/>
        <w:gridCol w:w="858"/>
        <w:gridCol w:w="125"/>
        <w:gridCol w:w="94"/>
        <w:gridCol w:w="196"/>
        <w:gridCol w:w="858"/>
        <w:gridCol w:w="80"/>
        <w:gridCol w:w="60"/>
        <w:gridCol w:w="188"/>
        <w:gridCol w:w="731"/>
        <w:gridCol w:w="80"/>
        <w:gridCol w:w="60"/>
        <w:gridCol w:w="110"/>
        <w:gridCol w:w="809"/>
        <w:gridCol w:w="185"/>
      </w:tblGrid>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3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2025/2024</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(5,503</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we recognized approximately $3.1 million in interest income, compared to approximately $3.5 million of interest income for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w:t>
      </w:r>
      <w:r>
        <w:rPr>
          <w:rFonts w:ascii="Times New Roman" w:hAnsi="Times New Roman"/>
          <w:caps w:val="false"/>
          <w:smallCaps w:val="false"/>
          <w:sz w:val="20"/>
        </w:rPr>
        <w:t>onths ended September 30, 2024</w:t>
      </w:r>
      <w:r>
        <w:rPr>
          <w:rFonts w:ascii="Times New Roman" w:hAnsi="Times New Roman"/>
          <w:caps w:val="false"/>
          <w:smallCaps w:val="false"/>
          <w:sz w:val="20"/>
          <w:shd w:fill="FFFFFF" w:val="clear"/>
        </w:rPr>
        <w:t>. The decreas</w:t>
      </w:r>
      <w:r>
        <w:rPr>
          <w:rFonts w:ascii="Times New Roman" w:hAnsi="Times New Roman"/>
          <w:caps w:val="false"/>
          <w:smallCaps w:val="false"/>
          <w:sz w:val="20"/>
        </w:rPr>
        <w:t>e in interest income was prima</w:t>
      </w:r>
      <w:r>
        <w:rPr>
          <w:rFonts w:ascii="Times New Roman" w:hAnsi="Times New Roman"/>
          <w:caps w:val="false"/>
          <w:smallCaps w:val="false"/>
          <w:sz w:val="20"/>
          <w:shd w:fill="FFFFFF" w:val="clear"/>
        </w:rPr>
        <w:t>rily the result of lower investment balances and timing of investments.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w:t>
      </w:r>
      <w:r>
        <w:rPr>
          <w:rFonts w:ascii="Times New Roman" w:hAnsi="Times New Roman"/>
          <w:caps w:val="false"/>
          <w:smallCaps w:val="false"/>
          <w:sz w:val="20"/>
        </w:rPr>
        <w:t xml:space="preserve">nine </w:t>
      </w:r>
      <w:r>
        <w:rPr>
          <w:rFonts w:ascii="Times New Roman" w:hAnsi="Times New Roman"/>
          <w:caps w:val="false"/>
          <w:smallCaps w:val="false"/>
          <w:sz w:val="20"/>
          <w:shd w:fill="FFFFFF" w:val="clear"/>
        </w:rPr>
        <w:t xml:space="preserve">months ended </w:t>
      </w:r>
      <w:r>
        <w:rPr>
          <w:rFonts w:ascii="Times New Roman" w:hAnsi="Times New Roman"/>
          <w:caps w:val="false"/>
          <w:smallCaps w:val="false"/>
          <w:sz w:val="20"/>
        </w:rPr>
        <w:t xml:space="preserve">September 30, 2025 </w:t>
      </w:r>
      <w:r>
        <w:rPr>
          <w:rFonts w:ascii="Times New Roman" w:hAnsi="Times New Roman"/>
          <w:caps w:val="false"/>
          <w:smallCaps w:val="false"/>
          <w:sz w:val="20"/>
          <w:shd w:fill="FFFFFF" w:val="clear"/>
        </w:rPr>
        <w:t>, we recognized approximately $5.5 million in interest expense, compared to approximately $9.8 million of interest expense for the </w:t>
      </w:r>
      <w:r>
        <w:rPr>
          <w:rFonts w:ascii="Times New Roman" w:hAnsi="Times New Roman"/>
          <w:caps w:val="false"/>
          <w:smallCaps w:val="false"/>
          <w:sz w:val="20"/>
        </w:rPr>
        <w:t xml:space="preserve"> nine </w:t>
      </w:r>
      <w:r>
        <w:rPr>
          <w:rFonts w:ascii="Times New Roman" w:hAnsi="Times New Roman"/>
          <w:caps w:val="false"/>
          <w:smallCaps w:val="false"/>
          <w:sz w:val="20"/>
          <w:shd w:fill="FFFFFF" w:val="clear"/>
        </w:rPr>
        <w:t>m</w:t>
      </w:r>
      <w:r>
        <w:rPr>
          <w:rFonts w:ascii="Times New Roman" w:hAnsi="Times New Roman"/>
          <w:caps w:val="false"/>
          <w:smallCaps w:val="false"/>
          <w:sz w:val="20"/>
        </w:rPr>
        <w:t xml:space="preserve">onths ended September 30, 2024 </w:t>
      </w:r>
      <w:r>
        <w:rPr>
          <w:rFonts w:ascii="Times New Roman" w:hAnsi="Times New Roman"/>
          <w:caps w:val="false"/>
          <w:smallCaps w:val="false"/>
          <w:sz w:val="20"/>
          <w:shd w:fill="FFFFFF" w:val="clear"/>
        </w:rPr>
        <w:t xml:space="preserve">. The decrease in interest expense was primarily related to a lower debt balance as we began paying down our debt principal during the </w:t>
      </w:r>
      <w:r>
        <w:rPr>
          <w:rFonts w:ascii="Times New Roman" w:hAnsi="Times New Roman"/>
          <w:caps w:val="false"/>
          <w:smallCaps w:val="false"/>
          <w:sz w:val="20"/>
        </w:rPr>
        <w:t xml:space="preserve">nine </w:t>
      </w:r>
      <w:r>
        <w:rPr>
          <w:rFonts w:ascii="Times New Roman" w:hAnsi="Times New Roman"/>
          <w:caps w:val="false"/>
          <w:smallCaps w:val="false"/>
          <w:sz w:val="20"/>
          <w:shd w:fill="FFFFFF" w:val="clear"/>
        </w:rPr>
        <w:t>months ended September 30, 2024.</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shd w:fill="FFFFFF" w:val="clear"/>
        </w:rPr>
        <w:t>Other income: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w:t>
      </w:r>
      <w:r>
        <w:rPr>
          <w:rFonts w:ascii="Times New Roman" w:hAnsi="Times New Roman"/>
          <w:caps w:val="false"/>
          <w:smallCaps w:val="false"/>
          <w:sz w:val="20"/>
        </w:rPr>
        <w:t xml:space="preserve"> nine </w:t>
      </w:r>
      <w:r>
        <w:rPr>
          <w:rFonts w:ascii="Times New Roman" w:hAnsi="Times New Roman"/>
          <w:caps w:val="false"/>
          <w:smallCaps w:val="false"/>
          <w:sz w:val="20"/>
          <w:shd w:fill="FFFFFF" w:val="clear"/>
        </w:rPr>
        <w:t xml:space="preserve">months ended </w:t>
      </w:r>
      <w:r>
        <w:rPr>
          <w:rFonts w:ascii="Times New Roman" w:hAnsi="Times New Roman"/>
          <w:caps w:val="false"/>
          <w:smallCaps w:val="false"/>
          <w:sz w:val="20"/>
        </w:rPr>
        <w:t xml:space="preserve">September 30, 2025 </w:t>
      </w:r>
      <w:r>
        <w:rPr>
          <w:rFonts w:ascii="Times New Roman" w:hAnsi="Times New Roman"/>
          <w:caps w:val="false"/>
          <w:smallCaps w:val="false"/>
          <w:sz w:val="20"/>
          <w:shd w:fill="FFFFFF" w:val="clear"/>
        </w:rPr>
        <w:t>, we recognized approximately $0.9 million in other income, compared to approximately $0.6 million of other income for the </w:t>
      </w:r>
      <w:r>
        <w:rPr>
          <w:rFonts w:ascii="Times New Roman" w:hAnsi="Times New Roman"/>
          <w:caps w:val="false"/>
          <w:smallCaps w:val="false"/>
          <w:sz w:val="20"/>
        </w:rPr>
        <w:t xml:space="preserve"> nine </w:t>
      </w:r>
      <w:r>
        <w:rPr>
          <w:rFonts w:ascii="Times New Roman" w:hAnsi="Times New Roman"/>
          <w:caps w:val="false"/>
          <w:smallCaps w:val="false"/>
          <w:sz w:val="20"/>
          <w:shd w:fill="FFFFFF" w:val="clear"/>
        </w:rPr>
        <w:t>m</w:t>
      </w:r>
      <w:r>
        <w:rPr>
          <w:rFonts w:ascii="Times New Roman" w:hAnsi="Times New Roman"/>
          <w:caps w:val="false"/>
          <w:smallCaps w:val="false"/>
          <w:sz w:val="20"/>
        </w:rPr>
        <w:t xml:space="preserve">onths ended September 30, 2024 </w:t>
      </w:r>
      <w:r>
        <w:rPr>
          <w:rFonts w:ascii="Times New Roman" w:hAnsi="Times New Roman"/>
          <w:caps w:val="false"/>
          <w:smallCaps w:val="false"/>
          <w:sz w:val="20"/>
          <w:shd w:fill="FFFFFF" w:val="clear"/>
        </w:rPr>
        <w:t xml:space="preserve">. The increase in </w:t>
      </w:r>
      <w:r>
        <w:rPr>
          <w:rFonts w:ascii="Times New Roman" w:hAnsi="Times New Roman"/>
          <w:caps w:val="false"/>
          <w:smallCaps w:val="false"/>
          <w:sz w:val="20"/>
        </w:rPr>
        <w:t xml:space="preserve">other income was </w:t>
      </w:r>
      <w:r>
        <w:rPr>
          <w:rFonts w:ascii="Times New Roman" w:hAnsi="Times New Roman"/>
          <w:caps w:val="false"/>
          <w:smallCaps w:val="false"/>
          <w:sz w:val="20"/>
          <w:shd w:fill="FFFFFF" w:val="clear"/>
        </w:rPr>
        <w:t>primarily due to favorable exchange rates in Euro-denominated transactions.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which summarizes our liquidity and capital resources as of September 30, 2025 and December 31, 2024 and for the nine months ended September 30, 2025 and 2024, is intended to supplement the more detailed discussion that follows:</w:t>
      </w:r>
    </w:p>
    <w:p>
      <w:pPr>
        <w:pStyle w:val="TextBody"/>
        <w:bidi w:val="0"/>
        <w:spacing w:before="0" w:after="0"/>
        <w:ind w:left="0" w:right="0" w:hanging="0"/>
        <w:jc w:val="left"/>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3875"/>
        <w:gridCol w:w="60"/>
        <w:gridCol w:w="256"/>
        <w:gridCol w:w="1428"/>
        <w:gridCol w:w="60"/>
        <w:gridCol w:w="60"/>
        <w:gridCol w:w="284"/>
        <w:gridCol w:w="1355"/>
        <w:gridCol w:w="6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69,219</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31,746</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51,547</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45,329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21,719</w:t>
            </w:r>
          </w:p>
        </w:tc>
        <w:tc>
          <w:tcPr>
            <w:tcW w:w="60" w:type="dxa"/>
            <w:tcBorders/>
            <w:shd w:fill="CCEEFF" w:val="clear"/>
            <w:vAlign w:val="center"/>
          </w:tcPr>
          <w:p>
            <w:pPr>
              <w:pStyle w:val="TableContents"/>
              <w:bidi w:val="0"/>
              <w:spacing w:before="0" w:after="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288" w:type="dxa"/>
        <w:jc w:val="left"/>
        <w:tblInd w:w="0" w:type="dxa"/>
        <w:tblLayout w:type="fixed"/>
        <w:tblCellMar>
          <w:top w:w="0" w:type="dxa"/>
          <w:left w:w="0" w:type="dxa"/>
          <w:bottom w:w="0" w:type="dxa"/>
          <w:right w:w="0" w:type="dxa"/>
        </w:tblCellMar>
      </w:tblPr>
      <w:tblGrid>
        <w:gridCol w:w="4640"/>
        <w:gridCol w:w="60"/>
        <w:gridCol w:w="271"/>
        <w:gridCol w:w="1413"/>
        <w:gridCol w:w="80"/>
        <w:gridCol w:w="60"/>
        <w:gridCol w:w="271"/>
        <w:gridCol w:w="1413"/>
        <w:gridCol w:w="80"/>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October 26, 2023, we implemented a reduction in our workforce of approximately 5% across the Company. We incurred approximately $0.4 million in related costs, which included severance payments and insurance premiums. These costs were recorded in the fourth quarter of 2023. All payments related to this plan were paid as of June 30,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shd w:fill="FFFFFF" w:val="clear"/>
        </w:rPr>
      </w:pPr>
      <w:r>
        <w:rPr>
          <w:rFonts w:ascii="Times New Roman" w:hAnsi="Times New Roman"/>
          <w:i/>
          <w:sz w:val="20"/>
          <w:shd w:fill="FFFFFF" w:val="clear"/>
        </w:rPr>
        <w:t>Operating Activities: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Cash provided by operating activities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was </w:t>
      </w:r>
      <w:r>
        <w:rPr>
          <w:rFonts w:ascii="Times New Roman" w:hAnsi="Times New Roman"/>
          <w:caps w:val="false"/>
          <w:smallCaps w:val="false"/>
          <w:sz w:val="20"/>
        </w:rPr>
        <w:t>$27.4</w:t>
      </w:r>
      <w:r>
        <w:rPr>
          <w:rFonts w:ascii="Times New Roman" w:hAnsi="Times New Roman"/>
          <w:caps w:val="false"/>
          <w:smallCaps w:val="false"/>
          <w:sz w:val="20"/>
          <w:shd w:fill="FFFFFF" w:val="clear"/>
        </w:rPr>
        <w:t xml:space="preserve"> million and consisted of net income of approximately </w:t>
      </w:r>
      <w:r>
        <w:rPr>
          <w:rFonts w:ascii="Times New Roman" w:hAnsi="Times New Roman"/>
          <w:caps w:val="false"/>
          <w:smallCaps w:val="false"/>
          <w:sz w:val="20"/>
        </w:rPr>
        <w:t>$17.7</w:t>
      </w:r>
      <w:r>
        <w:rPr>
          <w:rFonts w:ascii="Times New Roman" w:hAnsi="Times New Roman"/>
          <w:caps w:val="false"/>
          <w:smallCaps w:val="false"/>
          <w:sz w:val="20"/>
          <w:shd w:fill="FFFFFF" w:val="clear"/>
        </w:rPr>
        <w:t> million, adjusted for non-cash items of approximately $13.2 million, which included stock-based compensation of $5.3 million, depreciation and amortization of $8.3 million and provision for credit loss recovery of $0.4 million. Total changes in cash flows from operations were due to an increase in working capital, primarily related to an increase in accounts receivable of $1.2 million, an increase in inventory of $0.8 million, a decrease of post-marketing commitment liability of $1.7 million, a decrease in operating lease assets and liabilities, net, of $1.3 million and an increase in accrued expenses and other of approximately $0.3 million, partially offset by a decrease in prepaid and other expenses of $0.4 million and an increase in accounts payable of $0.9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Cash provided by operating activities for the nine months ended September 30, 2024 was $23.3 million and consisted of net income of approximately $11.0 million, adjusted for non-cash items of approximately $15.1 million, including stock-based compensation of $6.5 million, depreciation and amortization of $8.7 million and provision for credit loss of $0.1 million. Total changes in cash flows from operations were due to a decrease in working capital, primarily related to an increase in accounts receivable of approximately $6.7 million (primarily sales to China) and a decrease in accrued expenses and other of approximately $2.1 million, partially offset by a decrease in inventory of $4.4 million (primarily sales to China) and a decrease in prepaid expenses and other of $2.4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Cash used in investing activities for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was approximately </w:t>
      </w:r>
      <w:r>
        <w:rPr>
          <w:rFonts w:ascii="Times New Roman" w:hAnsi="Times New Roman"/>
          <w:caps w:val="false"/>
          <w:smallCaps w:val="false"/>
          <w:sz w:val="20"/>
        </w:rPr>
        <w:t>$9.2</w:t>
      </w:r>
      <w:r>
        <w:rPr>
          <w:rFonts w:ascii="Times New Roman" w:hAnsi="Times New Roman"/>
          <w:caps w:val="false"/>
          <w:smallCaps w:val="false"/>
          <w:sz w:val="20"/>
          <w:shd w:fill="FFFFFF" w:val="clear"/>
        </w:rPr>
        <w:t xml:space="preserve"> million, compared to net cash used in investing activities of approximately </w:t>
      </w:r>
      <w:r>
        <w:rPr>
          <w:rFonts w:ascii="Times New Roman" w:hAnsi="Times New Roman"/>
          <w:caps w:val="false"/>
          <w:smallCaps w:val="false"/>
          <w:sz w:val="20"/>
        </w:rPr>
        <w:t>$18.1</w:t>
      </w:r>
      <w:r>
        <w:rPr>
          <w:rFonts w:ascii="Times New Roman" w:hAnsi="Times New Roman"/>
          <w:caps w:val="false"/>
          <w:smallCaps w:val="false"/>
          <w:sz w:val="20"/>
          <w:shd w:fill="FFFFFF" w:val="clear"/>
        </w:rPr>
        <w:t xml:space="preserve"> million for the same period in </w:t>
      </w:r>
      <w:r>
        <w:rPr>
          <w:rFonts w:ascii="Times New Roman" w:hAnsi="Times New Roman"/>
          <w:caps w:val="false"/>
          <w:smallCaps w:val="false"/>
          <w:sz w:val="20"/>
        </w:rPr>
        <w:t>2024</w:t>
      </w:r>
      <w:r>
        <w:rPr>
          <w:rFonts w:ascii="Times New Roman" w:hAnsi="Times New Roman"/>
          <w:caps w:val="false"/>
          <w:smallCaps w:val="false"/>
          <w:sz w:val="20"/>
          <w:shd w:fill="FFFFFF" w:val="clear"/>
        </w:rPr>
        <w:t>. Cash used in investing activities for the nine months ended September 30, 2025 was primarily due to the purchase of available-for-sale securities of approximately $61.2 million, partially offset by the maturity of available-for-sale securities of approximately $52.1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Cash used in investing activities for the nine months ended September 30, 2024 was approximately $18.1 million, compared to net cash used in investing activities of approximately $11.0 million for the same period in 2023. Cash used in investing activities was primarily due to the purchase of available-for-sale securities of approximately $61.0 million, offset by the maturity of available-for-sale securities of approximately $42.9 million.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Financing Activities: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used in financing activities for the nine months ended September 30, 2025 was approximately $33.9 million, including $33.3 million related to the payment of principal and $0.7 million related exit fees, on our debt with Athyrium, partially offset by $0.1 million in </w:t>
      </w:r>
      <w:r>
        <w:rPr>
          <w:rFonts w:ascii="Times New Roman" w:hAnsi="Times New Roman"/>
          <w:caps w:val="false"/>
          <w:smallCaps w:val="false"/>
          <w:sz w:val="20"/>
        </w:rPr>
        <w:t>proceeds from shares issued under employee stock plans.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Cash used in financing activities for the nine months ended September 30, 2024 was approximately $22.5 million. Of this amount, $22.7 million related to the payment of principal, as well as exit fees, on our debt with Athyrium, partially offset by approximately $0.2 million of proceeds from employee stock options exercised.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Athyrium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issued senior notes for an aggregate principal amount of $100.0 million pursuant to the note purchase agreement dated July 23, 2021 by us, and our subsidiary, and Athyrium, as Administrative Agent, and certain other investor parties (the “Note Purchase Agreement”), with an initial maturity date of July 23, 2026 (the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our outstanding indebtedness, including the applicable exit and prepayment fees owed to lenders under our prior credit facility with Oxford. The Athyrium Notes are secured by substantially all of our assets. We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the Note Purchase Agreement dated as of September 16, 2022 (the “Third Amendment”).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Following the effectiveness of the Third Amendment, the Athyrium Notes bear interest at an annual rate equal to the sum of (a) eight percent (8.00%) plus (b) the lesser of (i) the sum of (x) three-month term SOFR for an interest period of three months plus (y) 0.26161% (26.161 basis points) and (ii) three and one-half of one percent (3.50%) per annum. Interest is payable quarterly on the last business day of March, June, September and December each year. In the second quarter of 2024, we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September 30, 2025, the effective interest rate for the loan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As of September 30, 2025, we may prepay the outstanding principal balance of the notes, in whole or in part, without premium or penalty.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Athyrium Notes include affirmative and negative covenants applicable to us. The affirmative covenants include, among others, covenants requiring us to maintain our legal existence and governmental approvals, deliver certain financial reports, maintain insurance coverage, and satisfy certain requirements regarding deposit accounts. The negative covenants include, among others, restrictions on our transferring collateral, incurring additional indebtedness, engaging in mergers or acquisitions, paying dividends or making other distributions, making investments, creating liens, selling assets and suffering a change in control, in each case subject to certain exceptions. We are also required to maintain minimum cash balances and achieve certain minimum product revenue targets, measured as of the last day of each fiscal quarter on a trailing year-to-date basis. As of September 30, 2025, we were in compliance with such covenants.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As of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the principal balance outstanding under the Athyrium Notes was </w:t>
      </w:r>
      <w:r>
        <w:rPr>
          <w:rFonts w:ascii="Times New Roman" w:hAnsi="Times New Roman"/>
          <w:caps w:val="false"/>
          <w:smallCaps w:val="false"/>
          <w:sz w:val="20"/>
        </w:rPr>
        <w:t>$33.3</w:t>
      </w:r>
      <w:r>
        <w:rPr>
          <w:rFonts w:ascii="Times New Roman" w:hAnsi="Times New Roman"/>
          <w:caps w:val="false"/>
          <w:smallCaps w:val="false"/>
          <w:sz w:val="20"/>
          <w:shd w:fill="FFFFFF" w:val="clear"/>
        </w:rPr>
        <w:t> million and represents all of our debt. We are in compliance with all applicable covenants under the Athyrium Notes.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 xml:space="preserve">Current and Future Financing Needs: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have spent, and expect to continue to spend, substantial amounts in connection with implementing our business strategy, including our planned product development efforts, our clinical trials, our R&amp;D efforts and our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We may choose to begin new R&amp;D efforts, or we may choose to launch additional marketing efforts. For example, we in-licensed alisertib from Takeda in 2022 and assumed sole responsibility for its global development and commercialization. These efforts will require funding in addition to the cash and cash equivalents totaling approximately </w:t>
      </w:r>
      <w:r>
        <w:rPr>
          <w:rFonts w:ascii="Times New Roman" w:hAnsi="Times New Roman"/>
          <w:caps w:val="false"/>
          <w:smallCaps w:val="false"/>
          <w:sz w:val="20"/>
        </w:rPr>
        <w:t>$53.5</w:t>
      </w:r>
      <w:r>
        <w:rPr>
          <w:rFonts w:ascii="Times New Roman" w:hAnsi="Times New Roman"/>
          <w:caps w:val="false"/>
          <w:smallCaps w:val="false"/>
          <w:sz w:val="20"/>
          <w:shd w:fill="FFFFFF" w:val="clear"/>
        </w:rPr>
        <w:t> million and approximately </w:t>
      </w:r>
      <w:r>
        <w:rPr>
          <w:rFonts w:ascii="Times New Roman" w:hAnsi="Times New Roman"/>
          <w:caps w:val="false"/>
          <w:smallCaps w:val="false"/>
          <w:sz w:val="20"/>
        </w:rPr>
        <w:t>$40.9</w:t>
      </w:r>
      <w:r>
        <w:rPr>
          <w:rFonts w:ascii="Times New Roman" w:hAnsi="Times New Roman"/>
          <w:caps w:val="false"/>
          <w:smallCaps w:val="false"/>
          <w:sz w:val="20"/>
          <w:shd w:fill="FFFFFF" w:val="clear"/>
        </w:rPr>
        <w:t xml:space="preserve"> million in marketable securities available at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While our consolidated financial statements have been prepared on a going concern basis, we may incur significant losses in the future and will need to generate significant revenue to sustain operations and successfully commercialize neratinib and develop alisertib. While we have been successful in raising financing in the past, there can be no assurance that we will be able to do so in the future. Our ability to obtain funding may be adversely impacted by uncertain market conditions, our success in commercializing neratinib, our success in developing alisertib, unfavorable decisions of regulatory authorities or adverse clinical trial results. The outcome of these matters cannot be predicted at this time. We believe that our existing cash and cash equivalents and marketable securities as of September 30, 2025, and proceeds that will become available to us through product sales and sub-license payments are sufficient to satisfy our operating cash and capital needs for at least one year after the filing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 addition, we have based our estimate of capital needs on assumptions that may prove to be wrong. Changes may occur that would consume our available capital faster than anticipated, including changes in and progress of our development activities, the impact of commercialization efforts, acquisitions of additional drug candidates and changes in regulation. Potential sources of financing include strategic relationships, public or private sales of equity or debt and other sources of funds. We may seek to access the public or private equity markets when conditions are favorable due to our long-term capital requirements. If we raise funds by selling additional shares of common stock or other securities convertible into common stock, the ownership interests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 In such an event, we will be required to undertake a thorough review of our programs, and the opportunities presented by such programs, and allocate our resources in the manner most prudent.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In addition to our operating results, as calculated in accordance with Generally Accepted Accounting Principles (“GAAP”) we use certain non-GAAP financial measures when planning, monitoring, and evaluating our operational performance. The following table presents our net income and net income per share, as calculated in accordance with GAAP, as adjusted to remove the impact of stock-based compensation. For the </w:t>
      </w:r>
      <w:r>
        <w:rPr>
          <w:rFonts w:ascii="Times New Roman" w:hAnsi="Times New Roman"/>
          <w:caps w:val="false"/>
          <w:smallCaps w:val="false"/>
          <w:sz w:val="20"/>
        </w:rPr>
        <w:t>three and nine months ended September 30, 2025</w:t>
      </w:r>
      <w:r>
        <w:rPr>
          <w:rFonts w:ascii="Times New Roman" w:hAnsi="Times New Roman"/>
          <w:caps w:val="false"/>
          <w:smallCaps w:val="false"/>
          <w:sz w:val="20"/>
          <w:shd w:fill="FFFFFF" w:val="clear"/>
        </w:rPr>
        <w:t xml:space="preserve">, stock-based compensation represented approximately </w:t>
      </w:r>
      <w:r>
        <w:rPr>
          <w:rFonts w:ascii="Times New Roman" w:hAnsi="Times New Roman"/>
          <w:caps w:val="false"/>
          <w:smallCaps w:val="false"/>
          <w:sz w:val="20"/>
        </w:rPr>
        <w:t>5.1%</w:t>
      </w:r>
      <w:r>
        <w:rPr>
          <w:rFonts w:ascii="Times New Roman" w:hAnsi="Times New Roman"/>
          <w:caps w:val="false"/>
          <w:smallCaps w:val="false"/>
          <w:sz w:val="20"/>
          <w:shd w:fill="FFFFFF" w:val="clear"/>
        </w:rPr>
        <w:t> and 5.5% of our operating expenses, respectively, compared to </w:t>
      </w:r>
      <w:r>
        <w:rPr>
          <w:rFonts w:ascii="Times New Roman" w:hAnsi="Times New Roman"/>
          <w:caps w:val="false"/>
          <w:smallCaps w:val="false"/>
          <w:sz w:val="20"/>
        </w:rPr>
        <w:t>7.0%</w:t>
      </w:r>
      <w:r>
        <w:rPr>
          <w:rFonts w:ascii="Times New Roman" w:hAnsi="Times New Roman"/>
          <w:caps w:val="false"/>
          <w:smallCaps w:val="false"/>
          <w:sz w:val="20"/>
          <w:shd w:fill="FFFFFF" w:val="clear"/>
        </w:rPr>
        <w:t xml:space="preserve"> and 6.3% for the same respective periods in </w:t>
      </w:r>
      <w:r>
        <w:rPr>
          <w:rFonts w:ascii="Times New Roman" w:hAnsi="Times New Roman"/>
          <w:caps w:val="false"/>
          <w:smallCaps w:val="false"/>
          <w:sz w:val="20"/>
        </w:rPr>
        <w:t>2024</w:t>
      </w:r>
      <w:r>
        <w:rPr>
          <w:rFonts w:ascii="Times New Roman" w:hAnsi="Times New Roman"/>
          <w:caps w:val="false"/>
          <w:smallCaps w:val="false"/>
          <w:sz w:val="20"/>
          <w:shd w:fill="FFFFFF" w:val="clear"/>
        </w:rPr>
        <w:t>, in each case excluding cost of s</w:t>
      </w:r>
      <w:r>
        <w:rPr>
          <w:rFonts w:ascii="Times New Roman" w:hAnsi="Times New Roman"/>
          <w:caps w:val="false"/>
          <w:smallCaps w:val="false"/>
          <w:sz w:val="20"/>
        </w:rPr>
        <w:t>ales. Our management believes that these non-GAAP financial measures are useful to enhance understanding of our financial performance, are more indicative of our operational performance and facilitate a better comparison among fiscal periods. These non-GAAP financial measures are not, and should not be viewed as, substitutes for GAAP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Net Income to Non-GAAP Adjusted Net Income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GAAP Net Income Per Share to Non-GAAP Adjusted Net Income Per Share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6"/>
        <w:gridCol w:w="60"/>
        <w:gridCol w:w="221"/>
        <w:gridCol w:w="1047"/>
        <w:gridCol w:w="106"/>
        <w:gridCol w:w="418"/>
        <w:gridCol w:w="106"/>
        <w:gridCol w:w="221"/>
        <w:gridCol w:w="1047"/>
        <w:gridCol w:w="60"/>
        <w:gridCol w:w="228"/>
        <w:gridCol w:w="60"/>
        <w:gridCol w:w="215"/>
        <w:gridCol w:w="1018"/>
        <w:gridCol w:w="103"/>
        <w:gridCol w:w="406"/>
        <w:gridCol w:w="103"/>
        <w:gridCol w:w="215"/>
        <w:gridCol w:w="1018"/>
        <w:gridCol w:w="60"/>
        <w:gridCol w:w="237"/>
      </w:tblGrid>
      <w:tr>
        <w:trPr/>
        <w:tc>
          <w:tcPr>
            <w:tcW w:w="3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6"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8"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center"/>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center"/>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20,317</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17,673</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(1)</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3,278</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(2)</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10,517</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22,371</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17,466</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r>
      <w:tr>
        <w:trPr/>
        <w:tc>
          <w:tcPr>
            <w:tcW w:w="3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 per share—basic</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0.35</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net income (as detailed above)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basic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106"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10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r>
      <w:tr>
        <w:trPr/>
        <w:tc>
          <w:tcPr>
            <w:tcW w:w="3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 per share—diluted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p>
        </w:tc>
        <w:tc>
          <w:tcPr>
            <w:tcW w:w="10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0.35</w:t>
            </w:r>
          </w:p>
        </w:tc>
        <w:tc>
          <w:tcPr>
            <w:tcW w:w="10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 to net income (as detailed above)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6"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10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adjusted diluted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106"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p>
        </w:tc>
        <w:tc>
          <w:tcPr>
            <w:tcW w:w="10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To reflect a non-cash charge to operating expense for selling, general, and administrative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To reflect a non-cash charge to operating expense for research and development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Non-GAAP adjusted basic net income per share was calculated based on 50,339,456 and 49,881,181 weighted-average shares of common stock outstanding for the three and nine months ended September 30, 2025, respectively.</w:t>
            </w:r>
          </w:p>
        </w:tc>
      </w:tr>
      <w:tr>
        <w:trPr/>
        <w:tc>
          <w:tcPr>
            <w:tcW w:w="10205" w:type="dxa"/>
            <w:tcBorders/>
            <w:vAlign w:val="center"/>
          </w:tcPr>
          <w:p>
            <w:pPr>
              <w:pStyle w:val="TableContents"/>
              <w:bidi w:val="0"/>
              <w:spacing w:before="0" w:after="283"/>
              <w:jc w:val="left"/>
              <w:rPr/>
            </w:pPr>
            <w:r>
              <w:rPr/>
              <w:t>(4) Non-GAAP adjusted basic net income per share was calculated based on 49,008,464 and 48,498,579 weighted-average shares of common stock outstanding for the three and nine months ended September 30, 2024, respectively.</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Non-GAAP adjusted diluted net income per share was calculated based on 50,929,893 and 50,334,553 weighted-average shares of common stock outstanding for the three and nine months ended September 30, 2025, respectively.</w:t>
            </w:r>
          </w:p>
        </w:tc>
      </w:tr>
      <w:tr>
        <w:trPr/>
        <w:tc>
          <w:tcPr>
            <w:tcW w:w="10205" w:type="dxa"/>
            <w:tcBorders/>
            <w:vAlign w:val="center"/>
          </w:tcPr>
          <w:p>
            <w:pPr>
              <w:pStyle w:val="TableContents"/>
              <w:bidi w:val="0"/>
              <w:spacing w:before="0" w:after="283"/>
              <w:jc w:val="left"/>
              <w:rPr/>
            </w:pPr>
            <w:r>
              <w:rPr/>
              <w:t>(6) Non-GAAP adjusted diluted net income per share was calculated based on 49,173,361 and 49,025,103 weighted-average shares of common stock outstanding for the three and nine months ended September 30, 2024,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SEC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business to our contractual obligations and commitments as described in “Management’s Discussion and Analysis of Financial Condition and Results of Operations” in our Annual Report on Form 10-K for the year ended December 31,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605"/>
        <w:gridCol w:w="7010"/>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bookmarkStart w:id="10" w:name="qqdmr"/>
            <w:bookmarkEnd w:id="10"/>
          </w:p>
        </w:tc>
        <w:tc>
          <w:tcPr>
            <w:tcW w:w="70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QUANTITATIVE AND QUALITATIVE DISCLOSURES ABOUT MARKET RISK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Some of the securities that we invest in have market risk in that a change in prevailing interest rates may cause the principal amount of the cash equivalents to fluctuate. Financial instruments that potentially subject us to significant concentrations of credit risk consist primarily of cash and cash equivalents. We invested our excess cash primarily in cash equivalents such as money market investments as of September 30, 2025. The primary objectives of our investment activities are to ensure liquidity and to preserve principal while at the same time maximizing the income we receive from our cash and cash equivalents without significantly increasing risk. Additionally, we established guidelines regarding approved investments and maturities of investments, which are designed to maintain safety and 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Because of the short-term maturities of our cash equivalents, we do not believe that a 10% increase in interest rates would have a material effect on the realized value of our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We also have interest rate exposure as a result of borrowings outstanding under the Athyrium Notes. As of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xml:space="preserve"> the aggregate outstanding principal amounts of the Athyrium Notes was $33.3 million. The Athyrium Notes bear interest at a rate per annum equal to the sum of 8.00% plus the adjusted three-month term SOFR and the lesser of (a) the sum of (i) three-month term SOFR and (ii) 0.26161% (26.161 basis points) and (b) three and one-half of one percent (3.50%) per annum. If overall interest rates had increased by one hundred basis points during the quarter ended </w:t>
      </w:r>
      <w:r>
        <w:rPr>
          <w:rFonts w:ascii="Times New Roman" w:hAnsi="Times New Roman"/>
          <w:caps w:val="false"/>
          <w:smallCaps w:val="false"/>
          <w:sz w:val="20"/>
        </w:rPr>
        <w:t>September 30, 2025</w:t>
      </w:r>
      <w:r>
        <w:rPr>
          <w:rFonts w:ascii="Times New Roman" w:hAnsi="Times New Roman"/>
          <w:caps w:val="false"/>
          <w:smallCaps w:val="false"/>
          <w:sz w:val="20"/>
          <w:shd w:fill="FFFFFF" w:val="clear"/>
        </w:rPr>
        <w:t>, our interest expense would have increased by $0.3 million. </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5"/>
        <w:gridCol w:w="2960"/>
      </w:tblGrid>
      <w:tr>
        <w:trPr/>
        <w:tc>
          <w:tcPr>
            <w:tcW w:w="6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bookmarkStart w:id="11" w:name="cp"/>
            <w:bookmarkEnd w:id="11"/>
          </w:p>
        </w:tc>
        <w:tc>
          <w:tcPr>
            <w:tcW w:w="29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our disclosure controls and procedures (as defined under Exchange Act Rule 13a-15(e)), as of September 30, 2025. Based on that evaluation, our Chief Executive Officer and Chief Financial Officer have concluded that these disclosure controls and procedures were effective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three months ended September 30,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center"/>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5"/>
        <w:gridCol w:w="2210"/>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bookmarkStart w:id="13" w:name="legal"/>
            <w:bookmarkEnd w:id="13"/>
          </w:p>
        </w:tc>
        <w:tc>
          <w:tcPr>
            <w:tcW w:w="2210"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 xml:space="preserve">LEGAL PROCEEDINGS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Legal Malpractice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17, 2020, 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and all legal fees and expenses 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to conclude before proceedings. On June 2, 2023, 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On August 22, 2023, the defendants filed motions to dismiss the case. These motions were presented at a hearing on February 20, 2024. The Superior Court Judge granted the motions to dismiss on March 20, 2024. The Company appealed this ruling to the North Carolina Court of Appeals. On September 3, 2025, the Court of Appeals reversed the dismissal of the Company’s claim for legal malpractice and remanded the case to the Superior Court for further proceedings. The defendants filed a petition for discretionary review of this decision by the North Carolina Supreme Court on October 8, 2025. The Supreme Court has not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Patent-Related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AstraZeneca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22, 2021, the Company filed suit against AstraZeneca Pharmaceuticals, LP, AstraZeneca AB, and AstraZeneca PLC for infringement of United States Patent Nos. 10,603,314 (“the ‘314 patent”) and 10,596,162 (“the ‘162 patent”) (</w:t>
      </w:r>
      <w:r>
        <w:rPr>
          <w:rFonts w:ascii="Times New Roman" w:hAnsi="Times New Roman"/>
          <w:i/>
          <w:caps w:val="false"/>
          <w:smallCaps w:val="false"/>
          <w:sz w:val="20"/>
        </w:rPr>
        <w:t>Puma Biotechnology, Inc. et al. v. AstraZeneca Pharmaceuticals LP et al</w:t>
      </w:r>
      <w:r>
        <w:rPr>
          <w:rFonts w:ascii="Times New Roman" w:hAnsi="Times New Roman"/>
          <w:caps w:val="false"/>
          <w:smallCaps w:val="false"/>
          <w:sz w:val="20"/>
        </w:rPr>
        <w:t>., 1:21CV01338 (D. Del. Sep. 22, 2021)). The Company’s complaint alleges that AstraZeneca’s commercial manufacture, use, 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$107,500,000.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appeal. That motion was granted on May 16, 2025. On June 6, 2025, Wyeth filed its reply brief. Briefing on the appeal is now complete, and the parties await further order from the Court.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Acebright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for examining evidence and debating merits of party arguments.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 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Kelun China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 On September 9, 2025, the NMPA approved Kelun’s ANDA to market a generic version of the Company’s NERLYNX® in China with the approval number of GuoYaoZhunZi 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Demai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Hexal European Patent Opposition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AG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eleven are in active prosecution. The patentee response to the notice of opposition was filed on April 15, 2024, following which, all three opponents filed additional arguments in reply to the patentee’s submission. On February 6, 2025, the Company filed its response to the summons to attend oral proceedings, including six auxiliary requests. Alfred E. Tiefenbacher and Hexal AG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early-stage hormone receptor positive HER-2-overexpressed/amplified breast cancer. The first instance decision may be appealed. Hexal filed an appeal on June 6, 2025, Generics [UK] Limited filed an appeal on June 20, 2025 and Wyeth filed an appeal on June 30, 2025. 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pStyle w:val="TextBody"/>
        <w:bidi w:val="0"/>
        <w:spacing w:before="0" w:after="0"/>
        <w:ind w:left="0" w:right="0" w:firstLine="54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1A.</w:t>
            </w:r>
            <w:bookmarkStart w:id="14" w:name="risks"/>
            <w:bookmarkEnd w:id="14"/>
          </w:p>
        </w:tc>
        <w:tc>
          <w:tcPr>
            <w:tcW w:w="14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Item 1A of our Annual Report on Form 10-K for the year ended December 31, 2024, we identified important factors that could affect our financial performance and could cause our actual results for future periods to differ materially from our anticipated results or other expectations, including those expressed in any forward-looking statements made in this Quarterly Report. Except as described below, there has been no material change in our risk factors subsequent to the filing of our prior reports referenced above. However, the risks described in our reports are not the only risks we face. Additional risks and uncertainties that we currently deem to be immaterial or not currently known to us, as well as other risks reported from time to time in our reports to the SEC, also could cause our actual results to differ materially from our anticipated results or other expectations</w:t>
      </w:r>
      <w:r>
        <w:rPr>
          <w:rFonts w:ascii="Times New Roman" w:hAnsi="Times New Roman"/>
          <w:i/>
          <w:caps w:val="false"/>
          <w:smallCaps w:val="false"/>
          <w:sz w:val="20"/>
        </w:rPr>
        <w:t>.</w:t>
      </w:r>
    </w:p>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5"/>
        <w:gridCol w:w="689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2.</w:t>
            </w:r>
            <w:bookmarkStart w:id="15" w:name="uses"/>
            <w:bookmarkEnd w:id="15"/>
          </w:p>
        </w:tc>
        <w:tc>
          <w:tcPr>
            <w:tcW w:w="68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UNREGISTERED SALES OF EQUITY SECURITIES AND USE OF PROCEEDS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Sales of Unregistered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Purchases of Equity Securities by the Issuer and Affiliated Purchasers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605"/>
        <w:gridCol w:w="368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bookmarkStart w:id="16" w:name="duss"/>
            <w:bookmarkEnd w:id="16"/>
          </w:p>
        </w:tc>
        <w:tc>
          <w:tcPr>
            <w:tcW w:w="36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DEFAULTS UPON SENIOR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400" w:type="dxa"/>
        <w:jc w:val="left"/>
        <w:tblInd w:w="0" w:type="dxa"/>
        <w:tblLayout w:type="fixed"/>
        <w:tblCellMar>
          <w:top w:w="0" w:type="dxa"/>
          <w:left w:w="0" w:type="dxa"/>
          <w:bottom w:w="0" w:type="dxa"/>
          <w:right w:w="0" w:type="dxa"/>
        </w:tblCellMar>
      </w:tblPr>
      <w:tblGrid>
        <w:gridCol w:w="605"/>
        <w:gridCol w:w="279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bookmarkStart w:id="17" w:name="msd"/>
            <w:bookmarkEnd w:id="17"/>
          </w:p>
        </w:tc>
        <w:tc>
          <w:tcPr>
            <w:tcW w:w="27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MINE SAFETY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jc w:val="left"/>
        <w:rPr/>
      </w:pPr>
      <w:r>
        <w:rPr/>
        <w:t xml:space="preserve">  </w:t>
      </w:r>
    </w:p>
    <w:tbl>
      <w:tblPr>
        <w:tblW w:w="2845" w:type="dxa"/>
        <w:jc w:val="left"/>
        <w:tblInd w:w="0" w:type="dxa"/>
        <w:tblLayout w:type="fixed"/>
        <w:tblCellMar>
          <w:top w:w="0" w:type="dxa"/>
          <w:left w:w="0" w:type="dxa"/>
          <w:bottom w:w="0" w:type="dxa"/>
          <w:right w:w="0" w:type="dxa"/>
        </w:tblCellMar>
      </w:tblPr>
      <w:tblGrid>
        <w:gridCol w:w="605"/>
        <w:gridCol w:w="2240"/>
      </w:tblGrid>
      <w:tr>
        <w:trPr/>
        <w:tc>
          <w:tcPr>
            <w:tcW w:w="60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5.</w:t>
            </w:r>
            <w:bookmarkStart w:id="18" w:name="oi"/>
            <w:bookmarkEnd w:id="18"/>
          </w:p>
        </w:tc>
        <w:tc>
          <w:tcPr>
            <w:tcW w:w="22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b/>
          <w:caps w:val="false"/>
          <w:smallCaps w:val="false"/>
          <w:sz w:val="20"/>
        </w:rPr>
      </w:pPr>
      <w:r>
        <w:rPr>
          <w:rFonts w:ascii="Times New Roman" w:hAnsi="Times New Roman"/>
          <w:b/>
          <w:caps w:val="false"/>
          <w:smallCaps w:val="false"/>
          <w:sz w:val="20"/>
        </w:rPr>
        <w:t>Trading Plans</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or officer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570" w:type="dxa"/>
        <w:jc w:val="left"/>
        <w:tblInd w:w="0" w:type="dxa"/>
        <w:tblLayout w:type="fixed"/>
        <w:tblCellMar>
          <w:top w:w="0" w:type="dxa"/>
          <w:left w:w="0" w:type="dxa"/>
          <w:bottom w:w="0" w:type="dxa"/>
          <w:right w:w="0" w:type="dxa"/>
        </w:tblCellMar>
      </w:tblPr>
      <w:tblGrid>
        <w:gridCol w:w="605"/>
        <w:gridCol w:w="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6.</w:t>
            </w:r>
            <w:bookmarkStart w:id="19" w:name="exs"/>
            <w:bookmarkEnd w:id="19"/>
          </w:p>
        </w:tc>
        <w:tc>
          <w:tcPr>
            <w:tcW w:w="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pPr>
      <w:r>
        <w:rPr/>
        <w:t> </w:t>
      </w:r>
    </w:p>
    <w:tbl>
      <w:tblPr>
        <w:tblW w:w="4300" w:type="dxa"/>
        <w:jc w:val="left"/>
        <w:tblInd w:w="0" w:type="dxa"/>
        <w:tblLayout w:type="fixed"/>
        <w:tblCellMar>
          <w:top w:w="0" w:type="dxa"/>
          <w:left w:w="0" w:type="dxa"/>
          <w:bottom w:w="0" w:type="dxa"/>
          <w:right w:w="0" w:type="dxa"/>
        </w:tblCellMar>
      </w:tblPr>
      <w:tblGrid>
        <w:gridCol w:w="60"/>
        <w:gridCol w:w="230"/>
        <w:gridCol w:w="40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required by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7"/>
        <w:gridCol w:w="60"/>
        <w:gridCol w:w="9378"/>
      </w:tblGrid>
      <w:tr>
        <w:trPr/>
        <w:tc>
          <w:tcPr>
            <w:tcW w:w="76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Exhibit</w:t>
            </w:r>
          </w:p>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Number</w:t>
            </w:r>
          </w:p>
        </w:tc>
        <w:tc>
          <w:tcPr>
            <w:tcW w:w="60" w:type="dxa"/>
            <w:tcBorders/>
            <w:tcMar>
              <w:bottom w:w="0" w:type="dxa"/>
            </w:tcMar>
            <w:vAlign w:val="center"/>
          </w:tcPr>
          <w:p>
            <w:pPr>
              <w:pStyle w:val="TableContents"/>
              <w:bidi w:val="0"/>
              <w:spacing w:before="0" w:after="283"/>
              <w:jc w:val="left"/>
              <w:rPr/>
            </w:pPr>
            <w:r>
              <w:rPr/>
              <w:t> </w:t>
            </w:r>
          </w:p>
        </w:tc>
        <w:tc>
          <w:tcPr>
            <w:tcW w:w="9378"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Second Amended and Restated Certificate of Incorporation of the Company, as filed with the Secretary of State of the State of Delaware on June 14, 2016 (filed as Exhibit 3.1 to the Company</w:t>
              </w:r>
            </w:hyperlink>
            <w:hyperlink r:id="rId3">
              <w:r>
                <w:rPr>
                  <w:rStyle w:val="InternetLink"/>
                  <w:rFonts w:ascii="Times New Roman" w:hAnsi="Times New Roman"/>
                  <w:caps w:val="false"/>
                  <w:smallCaps w:val="false"/>
                  <w:sz w:val="20"/>
                </w:rPr>
                <w:t>’</w:t>
              </w:r>
            </w:hyperlink>
            <w:hyperlink r:id="rId4">
              <w:r>
                <w:rPr>
                  <w:rStyle w:val="InternetLink"/>
                  <w:rFonts w:ascii="Times New Roman" w:hAnsi="Times New Roman"/>
                  <w:caps w:val="false"/>
                  <w:smallCaps w:val="false"/>
                  <w:sz w:val="20"/>
                  <w:u w:val="single"/>
                </w:rPr>
                <w:t>s Current Report on Form 8-K filed with the SEC on June 15, 2016, and incorporated herein by reference)</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Fifth Amended and Restated Bylaws of the Company (filed as Exhibit 3.1 to the Company</w:t>
              </w:r>
            </w:hyperlink>
            <w:hyperlink r:id="rId6">
              <w:r>
                <w:rPr>
                  <w:rStyle w:val="InternetLink"/>
                  <w:rFonts w:ascii="Times New Roman" w:hAnsi="Times New Roman"/>
                  <w:caps w:val="false"/>
                  <w:smallCaps w:val="false"/>
                  <w:sz w:val="20"/>
                </w:rPr>
                <w:t>’</w:t>
              </w:r>
            </w:hyperlink>
            <w:hyperlink r:id="rId7">
              <w:r>
                <w:rPr>
                  <w:rStyle w:val="InternetLink"/>
                  <w:rFonts w:ascii="Times New Roman" w:hAnsi="Times New Roman"/>
                  <w:caps w:val="false"/>
                  <w:smallCaps w:val="false"/>
                  <w:sz w:val="20"/>
                  <w:u w:val="single"/>
                </w:rPr>
                <w:t>s Current Report on Form 8-K filed with the SEC on June 24, 2025, and incorporated herein by reference)</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ex_856744.htm">
              <w:r>
                <w:rPr>
                  <w:rStyle w:val="InternetLink"/>
                </w:rPr>
                <w:t>Eighth Amendment to Note Purchase Agreement and Fourth Amendment to Disclosure Letter, dated October 6, 2025, by and between the Company and Athyrium Opportunities IV Co-Invest 1 LP, as Administrative Agent</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r:id="rId8">
              <w:r>
                <w:rPr>
                  <w:rStyle w:val="InternetLink"/>
                  <w:sz w:val="20"/>
                </w:rPr>
                <w:t>Sixth Amendment to Office Lease, dated July 23, 2025, by and between the Company and DE PARK AVENUE 10880, LLC (filed as Exhibit 10.2 to the Company’s Quarterly Report on Form 10-Q filed with the SEC on August 7, 2025, and incorporated herein by reference)</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31.1+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hyperlink w:anchor="ex_856746.htm">
              <w:r>
                <w:rPr>
                  <w:rStyle w:val="InternetLink"/>
                  <w:u w:val="single"/>
                </w:rPr>
                <w:t>Certification of Principal Executive Officer pursuant to Section 302 of the Sarbanes-Oxley Act of 2002 with respect to the registrant</w:t>
              </w:r>
            </w:hyperlink>
            <w:hyperlink w:anchor="ex_856746.htm">
              <w:r>
                <w:rPr>
                  <w:rStyle w:val="InternetLink"/>
                </w:rPr>
                <w:t>’</w:t>
              </w:r>
            </w:hyperlink>
            <w:hyperlink w:anchor="ex_856746.htm">
              <w:r>
                <w:rPr>
                  <w:rStyle w:val="InternetLink"/>
                  <w:u w:val="single"/>
                </w:rPr>
                <w:t>s Quarterly Report on Form 10-Q for the quarter ended September 30, 2025</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856747.htm">
              <w:r>
                <w:rPr>
                  <w:rStyle w:val="InternetLink"/>
                  <w:rFonts w:ascii="Times New Roman" w:hAnsi="Times New Roman"/>
                  <w:caps w:val="false"/>
                  <w:smallCaps w:val="false"/>
                  <w:sz w:val="20"/>
                  <w:u w:val="single"/>
                </w:rPr>
                <w:t>Certification of Principal Financial Officer pursuant to Section 302 of the Sarbanes-Oxley Act of 2002, with respect to the registrant</w:t>
              </w:r>
            </w:hyperlink>
            <w:hyperlink w:anchor="ex_856747.htm">
              <w:r>
                <w:rPr>
                  <w:rStyle w:val="InternetLink"/>
                  <w:rFonts w:ascii="Times New Roman" w:hAnsi="Times New Roman"/>
                  <w:caps w:val="false"/>
                  <w:smallCaps w:val="false"/>
                  <w:sz w:val="20"/>
                </w:rPr>
                <w:t>’</w:t>
              </w:r>
            </w:hyperlink>
            <w:hyperlink w:anchor="ex_856747.htm">
              <w:r>
                <w:rPr>
                  <w:rStyle w:val="InternetLink"/>
                  <w:rFonts w:ascii="Times New Roman" w:hAnsi="Times New Roman"/>
                  <w:caps w:val="false"/>
                  <w:smallCaps w:val="false"/>
                  <w:sz w:val="20"/>
                  <w:u w:val="single"/>
                </w:rPr>
                <w:t>s Quarterly Report on Form 10-Q for the quarter ended September 30, 2025</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856748.htm">
              <w:r>
                <w:rPr>
                  <w:rStyle w:val="InternetLink"/>
                  <w:rFonts w:ascii="Times New Roman" w:hAnsi="Times New Roman"/>
                  <w:caps w:val="false"/>
                  <w:smallCaps w:val="false"/>
                  <w:sz w:val="20"/>
                  <w:u w:val="single"/>
                </w:rPr>
                <w:t>Certification of Principal Executive Officer pursuant to 18 U.S.C. Section 1350, as adopted pursuant to Section 906 of the Sarbanes-Oxley Act of 2002</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pPr>
            <w:hyperlink w:anchor="ex_856749.htm">
              <w:r>
                <w:rPr>
                  <w:rStyle w:val="InternetLink"/>
                  <w:rFonts w:ascii="Times New Roman" w:hAnsi="Times New Roman"/>
                  <w:caps w:val="false"/>
                  <w:smallCaps w:val="false"/>
                  <w:sz w:val="20"/>
                  <w:u w:val="single"/>
                </w:rPr>
                <w:t>Certification of Principal Financial Officer pursuant to 18 U.S.C. Section 1350, as adopted pursuant to Section 906 of the Sarbanes-Oxley Act of 2002</w:t>
              </w:r>
            </w:hyperlink>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Linkbase Document</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7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67"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937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20" w:name="sigs"/>
      <w:bookmarkEnd w:id="20"/>
      <w:r>
        <w:rPr>
          <w:rFonts w:ascii="Times New Roman" w:hAnsi="Times New Roman"/>
          <w:b/>
          <w:caps w:val="false"/>
          <w:smallCaps w:val="false"/>
          <w:sz w:val="20"/>
          <w:u w:val="single"/>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2375"/>
        <w:gridCol w:w="320"/>
        <w:gridCol w:w="3635"/>
      </w:tblGrid>
      <w:tr>
        <w:trPr/>
        <w:tc>
          <w:tcPr>
            <w:tcW w:w="23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PUMA BIOTECHNOLOGY, INC.</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 </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Date: November 6,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 </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Nougues</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40 </w:t>
      </w:r>
    </w:p>
    <w:p>
      <w:pPr>
        <w:pStyle w:val="TextBody"/>
        <w:bidi w:val="0"/>
        <w:spacing w:before="0" w:after="0"/>
        <w:ind w:left="0" w:right="0" w:hanging="0"/>
        <w:jc w:val="right"/>
        <w:rPr>
          <w:rFonts w:ascii="Times New Roman;Times;serif" w:hAnsi="Times New Roman;Times;serif"/>
          <w:b/>
          <w:sz w:val="20"/>
        </w:rPr>
      </w:pPr>
      <w:bookmarkStart w:id="21" w:name="ex_856744.htm"/>
      <w:bookmarkStart w:id="22" w:name="ksex_856744"/>
      <w:bookmarkEnd w:id="21"/>
      <w:bookmarkEnd w:id="22"/>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16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EIGHTH AMENDMENT TO NOTE PURCHASE AGREEMENT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 FOURTH AMENDMENT TO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EIGHTH AMENDMENT TO NOTE PURCHASE AGREEMENT AND FOURTH AMENDMENT TO DISCLOSURE LETTER (this “</w:t>
      </w:r>
      <w:r>
        <w:rPr>
          <w:rFonts w:ascii="Times New Roman" w:hAnsi="Times New Roman"/>
          <w:caps w:val="false"/>
          <w:smallCaps w:val="false"/>
          <w:sz w:val="20"/>
          <w:u w:val="single"/>
        </w:rPr>
        <w:t>Agreement</w:t>
      </w:r>
      <w:r>
        <w:rPr>
          <w:rFonts w:ascii="Times New Roman" w:hAnsi="Times New Roman"/>
          <w:caps w:val="false"/>
          <w:smallCaps w:val="false"/>
          <w:sz w:val="20"/>
        </w:rPr>
        <w:t>”), dated as of October 6, 2025, is entered into by and among PUMA BIOTECHNOLOGY, INC., a Delaware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the Guarantors party hereto, the Purchasers party hereto and ATHYRIUM OPPORTUNITIES IV CO-INVEST 1 LP, as the Administrative Agent. All capitalized terms used herein and not otherwise defined herein shall have the meanings given to such terms in the Note Purchase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Issuer, the Guarantors, the Purchasers and the Administrative Agent entered into that certain Note Purchase Agreement dated as of July 23, 2021 (as amended or modified from time to time, the “</w:t>
      </w:r>
      <w:r>
        <w:rPr>
          <w:rFonts w:ascii="Times New Roman" w:hAnsi="Times New Roman"/>
          <w:caps w:val="false"/>
          <w:smallCaps w:val="false"/>
          <w:sz w:val="20"/>
          <w:u w:val="single"/>
        </w:rPr>
        <w:t>Note Purchase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Credit Parties have requested that the Note Purchase Agreement and the Disclosure Letter be amended as set forth below, subject to the terms and conditions specified in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hereto are willing to amend the Note Purchase Agreement and the Disclosure Letter, subject to the terms and conditions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Amendments</w:t>
      </w:r>
      <w:r>
        <w:rPr>
          <w:rFonts w:ascii="Times New Roman" w:hAnsi="Times New Roman"/>
          <w:caps w:val="false"/>
          <w:smallCaps w:val="false"/>
          <w:sz w:val="20"/>
        </w:rPr>
        <w:t>. The Note Purchase Agreement and the Disclosure Letter are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definition of “Qualified Equity Issuance” in Section 1.01 of the Note Purchase Agreement is hereby amended by replacing the text “November 1, 2025” with the text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Section 7.23 of the Note Purchase Agreement is hereby amended by replacing each occurrence of the text “November 1, 2025” with the text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Schedule 1.01(c) to the Disclosure Letter is hereby amended by replacing the text “November 1, 2025” with the text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Condition Precedent</w:t>
      </w:r>
      <w:r>
        <w:rPr>
          <w:rFonts w:ascii="Times New Roman" w:hAnsi="Times New Roman"/>
          <w:caps w:val="false"/>
          <w:smallCaps w:val="false"/>
          <w:sz w:val="20"/>
        </w:rPr>
        <w:t>. This Agreement shall be effective as of the date hereof upon satisfaction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counterparts of this Agreement duly executed by the Issuer, the Guarantors, the Purchasers and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Issuer shall have paid all reasonable and documented out-of-pocket expenses incurred by the Administrative Agent and its Affiliates prior to the date hereof (including the reasonable fees, charges and disbursements of outside counsel for the Administrative Agent), in each case, to the extent required under Section 11.04 of the Note Purchase Agreement and invoiced at least three Business Days prior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Reaffirmation of Representations and Warranties; No Default</w:t>
      </w:r>
      <w:r>
        <w:rPr>
          <w:rFonts w:ascii="Times New Roman" w:hAnsi="Times New Roman"/>
          <w:caps w:val="false"/>
          <w:smallCaps w:val="false"/>
          <w:sz w:val="20"/>
        </w:rPr>
        <w:t xml:space="preserve">. The Issuer and each other Credit Party represents and warrants to the Administrative Agent and each Purchaser that after giving effect to this Agreement (a) the representations and warranties of the Issuer and each other Credit Party contained in Article VI of the Note Purchase Agreement or any other Note Document, or which are contained in any document furnished at any time under or in connection therewith, are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hAnsi="Times New Roman"/>
          <w:caps w:val="false"/>
          <w:smallCaps w:val="false"/>
          <w:sz w:val="20"/>
          <w:u w:val="single"/>
        </w:rPr>
        <w:t>Section 3</w:t>
      </w:r>
      <w:r>
        <w:rPr>
          <w:rFonts w:ascii="Times New Roman" w:hAnsi="Times New Roman"/>
          <w:caps w:val="false"/>
          <w:smallCaps w:val="false"/>
          <w:sz w:val="20"/>
        </w:rPr>
        <w:t>, the representations and warranties contained in clauses (a) and (b) of Section 6.05 of the Note Purchase Agreement shall be deemed to refer to the most recent statements furnished pursuant to clauses (a) and (b) of Section 7.01 of the Note Purchase Agreement, respectively, and (b)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Note Purchase Agreement and the obligations of the Credit Parties thereunder and under the other Note Documents, are hereby ratified and confirmed and shall remain in full force and effect according to their terms.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Sections 11.14 and 11.15 of the Note Purchase Agreement are incorporated herein by reference and shall apply, </w:t>
      </w:r>
      <w:r>
        <w:rPr>
          <w:rFonts w:ascii="Times New Roman" w:hAnsi="Times New Roman"/>
          <w:i/>
          <w:caps w:val="false"/>
          <w:smallCaps w:val="false"/>
          <w:sz w:val="20"/>
        </w:rPr>
        <w:t>mutatis mutandis</w:t>
      </w:r>
      <w:r>
        <w:rPr>
          <w:rFonts w:ascii="Times New Roman" w:hAnsi="Times New Roman"/>
          <w:caps w:val="false"/>
          <w:smallCaps w:val="false"/>
          <w:sz w:val="20"/>
        </w:rPr>
        <w:t>, to this Agreement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As a material part of the consideration for the Administrative Agent and the Purchasers entering into this Agreement, the Credit Parties agree that the Administrative Agent, the Purchasers, each of their respective Affiliates and each of the foregoing Persons’ respective officers, managers, members, directors, advisors, sub-advisors, partners, agents and employees, and their respective successors and assigns (hereinafter all of the above collectively referred to as the “</w:t>
      </w:r>
      <w:r>
        <w:rPr>
          <w:rFonts w:ascii="Times New Roman" w:hAnsi="Times New Roman"/>
          <w:caps w:val="false"/>
          <w:smallCaps w:val="false"/>
          <w:sz w:val="20"/>
          <w:u w:val="single"/>
        </w:rPr>
        <w:t>Purchaser Group</w:t>
      </w:r>
      <w:r>
        <w:rPr>
          <w:rFonts w:ascii="Times New Roman" w:hAnsi="Times New Roman"/>
          <w:caps w:val="false"/>
          <w:smallCaps w:val="false"/>
          <w:sz w:val="20"/>
        </w:rPr>
        <w:t>”), are irrevocably and unconditionally released, discharged and acquitted from any and all actions, causes of action, claims, demands, damages and liabilities of whatever kind or nature, in law or in equity, now known or unknown, suspected or unsuspected to the extent that any of the foregoing arises from any action or failure to act under or otherwise arising in connection with the Note Documents, in each case arising on or prior to the date hereof, except to the extent such actions, causes of action, claims, demands, damages and liabilities result from the gross negligence or willful misconduct of any of the Purchaser Group as determined by a court of competent jurisdiction in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This Agreement may be executed in any number of counterparts, each of which when so executed and delivered shall be an original, but all of which shall constitute one and the same instrument. Delivery of an executed counterpart of a signature page of this Agreement by facsimile or other electronic imaging means (e.g. “pdf” or “tif”)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THIS AGREEMENT AND THE RIGHTS AND OBLIGATIONS OF THE PARTIES HEREUNDER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w:t>
      </w:r>
      <w:r>
        <w:rPr>
          <w:rFonts w:ascii="Times New Roman" w:hAnsi="Times New Roman"/>
          <w:i/>
          <w:caps w:val="false"/>
          <w:smallCaps w:val="false"/>
          <w:sz w:val="20"/>
        </w:rPr>
        <w:t xml:space="preserve">, </w:t>
      </w:r>
      <w:r>
        <w:rPr>
          <w:rFonts w:ascii="Times New Roman" w:hAnsi="Times New Roman"/>
          <w:caps w:val="false"/>
          <w:smallCaps w:val="false"/>
          <w:sz w:val="20"/>
        </w:rPr>
        <w:t>the parties hereto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408"/>
        <w:gridCol w:w="2289"/>
        <w:gridCol w:w="67"/>
      </w:tblGrid>
      <w:tr>
        <w:trPr/>
        <w:tc>
          <w:tcPr>
            <w:tcW w:w="276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ISSUER:</w:t>
            </w:r>
          </w:p>
        </w:tc>
      </w:tr>
      <w:tr>
        <w:trPr/>
        <w:tc>
          <w:tcPr>
            <w:tcW w:w="2764" w:type="dxa"/>
            <w:gridSpan w:val="3"/>
            <w:tcBorders/>
            <w:vAlign w:val="center"/>
          </w:tcPr>
          <w:p>
            <w:pPr>
              <w:pStyle w:val="TableContents"/>
              <w:bidi w:val="0"/>
              <w:spacing w:before="0" w:after="283"/>
              <w:jc w:val="left"/>
              <w:rPr/>
            </w:pPr>
            <w:r>
              <w:rPr/>
              <w:t> </w:t>
            </w:r>
          </w:p>
        </w:tc>
      </w:tr>
      <w:tr>
        <w:trPr/>
        <w:tc>
          <w:tcPr>
            <w:tcW w:w="276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PUMA BIOTECHNOLOGY, INC.,</w:t>
            </w:r>
          </w:p>
        </w:tc>
      </w:tr>
      <w:tr>
        <w:trPr/>
        <w:tc>
          <w:tcPr>
            <w:tcW w:w="276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Delaware corporation</w:t>
            </w:r>
          </w:p>
        </w:tc>
      </w:tr>
      <w:tr>
        <w:trPr/>
        <w:tc>
          <w:tcPr>
            <w:tcW w:w="2764" w:type="dxa"/>
            <w:gridSpan w:val="3"/>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289" w:type="dxa"/>
            <w:tcBorders>
              <w:bottom w:val="single" w:sz="2" w:space="0" w:color="000000"/>
            </w:tcBorders>
            <w:tcMar>
              <w:bottom w:w="28" w:type="dxa"/>
            </w:tcMar>
            <w:vAlign w:val="center"/>
          </w:tcPr>
          <w:p>
            <w:pPr>
              <w:pStyle w:val="TableContents"/>
              <w:bidi w:val="0"/>
              <w:spacing w:before="0" w:after="283"/>
              <w:jc w:val="left"/>
              <w:rPr/>
            </w:pPr>
            <w:r>
              <w:rPr/>
              <w:t>/s/ Alan A. Auerbach</w:t>
            </w:r>
          </w:p>
        </w:tc>
        <w:tc>
          <w:tcPr>
            <w:tcW w:w="67" w:type="dxa"/>
            <w:tcBorders/>
            <w:vAlign w:val="center"/>
          </w:tcPr>
          <w:p>
            <w:pPr>
              <w:pStyle w:val="TableContents"/>
              <w:bidi w:val="0"/>
              <w:spacing w:before="0" w:after="283"/>
              <w:jc w:val="left"/>
              <w:rPr/>
            </w:pPr>
            <w:r>
              <w:rPr/>
              <w:t> </w:t>
            </w:r>
          </w:p>
        </w:tc>
      </w:tr>
      <w:tr>
        <w:trPr/>
        <w:tc>
          <w:tcPr>
            <w:tcW w:w="276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Alan Auerbach</w:t>
            </w:r>
          </w:p>
        </w:tc>
      </w:tr>
      <w:tr>
        <w:trPr/>
        <w:tc>
          <w:tcPr>
            <w:tcW w:w="2764"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right"/>
        <w:rPr>
          <w:rFonts w:ascii="Times New Roman" w:hAnsi="Times New Roman"/>
          <w:caps w:val="false"/>
          <w:smallCaps w:val="false"/>
          <w:sz w:val="20"/>
        </w:rPr>
      </w:pPr>
      <w:r>
        <w:rPr>
          <w:rFonts w:ascii="Times New Roman" w:hAnsi="Times New Roman"/>
          <w:caps w:val="false"/>
          <w:smallCaps w:val="false"/>
          <w:sz w:val="20"/>
        </w:rPr>
        <w:t>EIGHTH AMENDMENT TO NOTE PURCHASE AGREEMENT</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AND FOURTH AMENDMENT TO DISCLOSURE LETTER (SEPTEMBER 2025)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24" w:type="dxa"/>
        <w:jc w:val="left"/>
        <w:tblInd w:w="0" w:type="dxa"/>
        <w:tblLayout w:type="fixed"/>
        <w:tblCellMar>
          <w:top w:w="0" w:type="dxa"/>
          <w:left w:w="0" w:type="dxa"/>
          <w:bottom w:w="0" w:type="dxa"/>
          <w:right w:w="0" w:type="dxa"/>
        </w:tblCellMar>
      </w:tblPr>
      <w:tblGrid>
        <w:gridCol w:w="857"/>
        <w:gridCol w:w="4810"/>
        <w:gridCol w:w="157"/>
      </w:tblGrid>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AGENT:</w:t>
            </w:r>
          </w:p>
        </w:tc>
      </w:tr>
      <w:tr>
        <w:trPr/>
        <w:tc>
          <w:tcPr>
            <w:tcW w:w="5824" w:type="dxa"/>
            <w:gridSpan w:val="3"/>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ATHYRIUM OPPORTUNITIES</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tc>
      </w:tr>
      <w:tr>
        <w:trPr/>
        <w:tc>
          <w:tcPr>
            <w:tcW w:w="5824" w:type="dxa"/>
            <w:gridSpan w:val="3"/>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tc>
      </w:tr>
      <w:tr>
        <w:trPr/>
        <w:tc>
          <w:tcPr>
            <w:tcW w:w="5824" w:type="dxa"/>
            <w:gridSpan w:val="3"/>
            <w:tcBorders/>
            <w:vAlign w:val="center"/>
          </w:tcPr>
          <w:p>
            <w:pPr>
              <w:pStyle w:val="TableContents"/>
              <w:bidi w:val="0"/>
              <w:spacing w:before="0" w:after="283"/>
              <w:jc w:val="left"/>
              <w:rPr/>
            </w:pPr>
            <w:r>
              <w:rPr/>
              <w:t> </w:t>
            </w:r>
          </w:p>
        </w:tc>
      </w:tr>
      <w:tr>
        <w:trPr/>
        <w:tc>
          <w:tcPr>
            <w:tcW w:w="8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810" w:type="dxa"/>
            <w:tcBorders>
              <w:bottom w:val="single" w:sz="2" w:space="0" w:color="000000"/>
            </w:tcBorders>
            <w:tcMar>
              <w:bottom w:w="28" w:type="dxa"/>
            </w:tcMar>
            <w:vAlign w:val="center"/>
          </w:tcPr>
          <w:p>
            <w:pPr>
              <w:pStyle w:val="TableContents"/>
              <w:bidi w:val="0"/>
              <w:spacing w:before="0" w:after="283"/>
              <w:jc w:val="left"/>
              <w:rPr/>
            </w:pPr>
            <w:r>
              <w:rPr/>
              <w:t>/s/ Rashida Adams</w:t>
            </w:r>
          </w:p>
        </w:tc>
        <w:tc>
          <w:tcPr>
            <w:tcW w:w="157" w:type="dxa"/>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right"/>
        <w:rPr>
          <w:rFonts w:ascii="Times New Roman" w:hAnsi="Times New Roman"/>
          <w:caps w:val="false"/>
          <w:smallCaps w:val="false"/>
          <w:sz w:val="20"/>
        </w:rPr>
      </w:pPr>
      <w:r>
        <w:rPr>
          <w:rFonts w:ascii="Times New Roman" w:hAnsi="Times New Roman"/>
          <w:caps w:val="false"/>
          <w:smallCaps w:val="false"/>
          <w:sz w:val="20"/>
        </w:rPr>
        <w:t>EIGHTH AMENDMENT TO NOTE PURCHASE AGREEMENT</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AND FOURTH AMENDMENT TO DISCLOSURE LETTER (SEPTEMBER 2025)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24" w:type="dxa"/>
        <w:jc w:val="left"/>
        <w:tblInd w:w="0" w:type="dxa"/>
        <w:tblLayout w:type="fixed"/>
        <w:tblCellMar>
          <w:top w:w="0" w:type="dxa"/>
          <w:left w:w="0" w:type="dxa"/>
          <w:bottom w:w="0" w:type="dxa"/>
          <w:right w:w="0" w:type="dxa"/>
        </w:tblCellMar>
      </w:tblPr>
      <w:tblGrid>
        <w:gridCol w:w="959"/>
        <w:gridCol w:w="4709"/>
        <w:gridCol w:w="156"/>
      </w:tblGrid>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PURCHASERS:</w:t>
            </w:r>
          </w:p>
        </w:tc>
      </w:tr>
      <w:tr>
        <w:trPr/>
        <w:tc>
          <w:tcPr>
            <w:tcW w:w="5824" w:type="dxa"/>
            <w:gridSpan w:val="3"/>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ATHYRIUM OPPORTUNITIES</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tc>
      </w:tr>
      <w:tr>
        <w:trPr/>
        <w:tc>
          <w:tcPr>
            <w:tcW w:w="5824" w:type="dxa"/>
            <w:gridSpan w:val="3"/>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tc>
      </w:tr>
      <w:tr>
        <w:trPr/>
        <w:tc>
          <w:tcPr>
            <w:tcW w:w="5824" w:type="dxa"/>
            <w:gridSpan w:val="3"/>
            <w:tcBorders/>
            <w:vAlign w:val="center"/>
          </w:tcPr>
          <w:p>
            <w:pPr>
              <w:pStyle w:val="TableContents"/>
              <w:bidi w:val="0"/>
              <w:spacing w:before="0" w:after="283"/>
              <w:jc w:val="left"/>
              <w:rPr/>
            </w:pPr>
            <w:r>
              <w:rPr/>
              <w:t> </w:t>
            </w:r>
          </w:p>
        </w:tc>
      </w:tr>
      <w:tr>
        <w:trPr/>
        <w:tc>
          <w:tcPr>
            <w:tcW w:w="9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4709" w:type="dxa"/>
            <w:tcBorders>
              <w:bottom w:val="single" w:sz="2" w:space="0" w:color="000000"/>
            </w:tcBorders>
            <w:tcMar>
              <w:bottom w:w="28" w:type="dxa"/>
            </w:tcMar>
            <w:vAlign w:val="center"/>
          </w:tcPr>
          <w:p>
            <w:pPr>
              <w:pStyle w:val="TableContents"/>
              <w:bidi w:val="0"/>
              <w:spacing w:before="0" w:after="283"/>
              <w:jc w:val="left"/>
              <w:rPr/>
            </w:pPr>
            <w:r>
              <w:rPr/>
              <w:t>/s/ Rashida Adams</w:t>
            </w:r>
          </w:p>
        </w:tc>
        <w:tc>
          <w:tcPr>
            <w:tcW w:w="156" w:type="dxa"/>
            <w:tcBorders/>
            <w:vAlign w:val="center"/>
          </w:tcPr>
          <w:p>
            <w:pPr>
              <w:pStyle w:val="TableContents"/>
              <w:bidi w:val="0"/>
              <w:spacing w:before="0" w:after="283"/>
              <w:jc w:val="left"/>
              <w:rPr/>
            </w:pPr>
            <w:r>
              <w:rPr/>
              <w:t> </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tc>
      </w:tr>
      <w:tr>
        <w:trPr/>
        <w:tc>
          <w:tcPr>
            <w:tcW w:w="58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right"/>
        <w:rPr>
          <w:rFonts w:ascii="Times New Roman" w:hAnsi="Times New Roman"/>
          <w:caps w:val="false"/>
          <w:smallCaps w:val="false"/>
          <w:sz w:val="20"/>
        </w:rPr>
      </w:pPr>
      <w:r>
        <w:rPr>
          <w:rFonts w:ascii="Times New Roman" w:hAnsi="Times New Roman"/>
          <w:caps w:val="false"/>
          <w:smallCaps w:val="false"/>
          <w:sz w:val="20"/>
        </w:rPr>
        <w:t>EIGHTH AMENDMENT TO NOTE PURCHASE AGREEMENT</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AND FOURTH AMENDMENT TO DISCLOSURE LETTER (SEPTEMBER 2025)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856746.htm"/>
      <w:bookmarkStart w:id="24" w:name="ksex_856746"/>
      <w:bookmarkEnd w:id="23"/>
      <w:bookmarkEnd w:id="24"/>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Alan H. Auerbach,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of Puma Biotechnology, Inc. for the quarter ended </w:t>
      </w:r>
      <w:bookmarkStart w:id="25" w:name="led390753F2023391681065147980"/>
      <w:bookmarkEnd w:id="25"/>
      <w:r>
        <w:rPr>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75"/>
        <w:gridCol w:w="60"/>
        <w:gridCol w:w="2225"/>
      </w:tblGrid>
      <w:tr>
        <w:trPr/>
        <w:tc>
          <w:tcPr>
            <w:tcW w:w="2375"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856747.htm"/>
      <w:bookmarkStart w:id="27" w:name="ksex_856747"/>
      <w:bookmarkEnd w:id="26"/>
      <w:bookmarkEnd w:id="27"/>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Maximo F. Nougues,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of Puma Biotechnology, Inc. for the quarter ended </w:t>
      </w:r>
      <w:bookmarkStart w:id="28" w:name="led390753F2023391681065210918"/>
      <w:bookmarkEnd w:id="28"/>
      <w:r>
        <w:rPr>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2375"/>
        <w:gridCol w:w="60"/>
        <w:gridCol w:w="3515"/>
      </w:tblGrid>
      <w:tr>
        <w:trPr/>
        <w:tc>
          <w:tcPr>
            <w:tcW w:w="2375"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56748.htm"/>
      <w:bookmarkStart w:id="30" w:name="ksex_856748"/>
      <w:bookmarkEnd w:id="29"/>
      <w:bookmarkEnd w:id="30"/>
      <w:r>
        <w:rPr>
          <w:rFonts w:ascii="Times New Roman" w:hAnsi="Times New Roman"/>
          <w:b/>
          <w:caps w:val="false"/>
          <w:smallCaps w:val="false"/>
          <w:sz w:val="20"/>
        </w:rPr>
        <w:t xml:space="preserve">Exhibit 32.1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The following certification is being furnished solely to accompany the Quarterly Report on Form 10-Q of Puma Biotechnology, Inc. for the quarter ended </w:t>
      </w:r>
      <w:bookmarkStart w:id="31" w:name="led390753F2023391681065247076"/>
      <w:bookmarkEnd w:id="31"/>
      <w:r>
        <w:rPr>
          <w:rFonts w:ascii="Times New Roman" w:hAnsi="Times New Roman"/>
          <w:caps w:val="false"/>
          <w:smallCaps w:val="false"/>
          <w:sz w:val="20"/>
        </w:rPr>
        <w:t>September 30,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I, Alan H. Auerbach, certify, pursuant to 18 U.S.C. Section 1350, as adopted pursuant to Section 906 of the Sarbanes-Oxley Act of 2002, that the Quarterly Report on Form 10-Q of Puma Biotechnology, Inc. for the quarter ended </w:t>
      </w:r>
      <w:bookmarkStart w:id="32" w:name="led390753F2023391681065251653"/>
      <w:bookmarkEnd w:id="32"/>
      <w:r>
        <w:rPr>
          <w:rFonts w:ascii="Times New Roman" w:hAnsi="Times New Roman"/>
          <w:caps w:val="false"/>
          <w:smallCaps w:val="false"/>
          <w:sz w:val="20"/>
        </w:rPr>
        <w:t>September 30, 2025,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375"/>
        <w:gridCol w:w="60"/>
        <w:gridCol w:w="2225"/>
      </w:tblGrid>
      <w:tr>
        <w:trPr/>
        <w:tc>
          <w:tcPr>
            <w:tcW w:w="2375"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856749.htm"/>
      <w:bookmarkStart w:id="34" w:name="ksex_856749"/>
      <w:bookmarkEnd w:id="33"/>
      <w:bookmarkEnd w:id="34"/>
      <w:r>
        <w:rPr>
          <w:rFonts w:ascii="Times New Roman" w:hAnsi="Times New Roman"/>
          <w:b/>
          <w:caps w:val="false"/>
          <w:smallCaps w:val="false"/>
          <w:sz w:val="20"/>
        </w:rPr>
        <w:t xml:space="preserve">Exhibit 32.2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 xml:space="preserve">1350, AS ADOPTED PURSUANT TO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The following certification is being furnished solely to accompany the Quarterly Report on Form 10-Q of Puma Biotechnology, Inc. for the quarter ended </w:t>
      </w:r>
      <w:bookmarkStart w:id="35" w:name="led390753F2023391681065307556"/>
      <w:bookmarkEnd w:id="35"/>
      <w:r>
        <w:rPr>
          <w:rFonts w:ascii="Times New Roman" w:hAnsi="Times New Roman"/>
          <w:caps w:val="false"/>
          <w:smallCaps w:val="false"/>
          <w:sz w:val="20"/>
        </w:rPr>
        <w:t>September 30,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Principal Financial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 xml:space="preserve">I, Maximo F. Nougues, certify, pursuant to 18 U.S.C. Section 1350, as adopted pursuant to Section 906 of the Sarbanes-Oxley Act of 2002, that the Quarterly Report on Form 10-Q of Puma Biotechnology, Inc. for the quarter ended </w:t>
      </w:r>
      <w:bookmarkStart w:id="36" w:name="led390753F20233916810653075561"/>
      <w:bookmarkEnd w:id="36"/>
      <w:r>
        <w:rPr>
          <w:rFonts w:ascii="Times New Roman" w:hAnsi="Times New Roman"/>
          <w:caps w:val="false"/>
          <w:smallCaps w:val="false"/>
          <w:sz w:val="20"/>
        </w:rPr>
        <w:t>September 30, 2025,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2375"/>
        <w:gridCol w:w="60"/>
        <w:gridCol w:w="3515"/>
      </w:tblGrid>
      <w:tr>
        <w:trPr/>
        <w:tc>
          <w:tcPr>
            <w:tcW w:w="2375"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01667/000119312516622448/d178772dex31.htm" TargetMode="External"/><Relationship Id="rId3" Type="http://schemas.openxmlformats.org/officeDocument/2006/relationships/hyperlink" Target="http://www.sec.gov/Archives/edgar/data/1401667/000119312516622448/d178772dex31.htm" TargetMode="External"/><Relationship Id="rId4" Type="http://schemas.openxmlformats.org/officeDocument/2006/relationships/hyperlink" Target="http://www.sec.gov/Archives/edgar/data/1401667/000119312516622448/d178772dex31.htm" TargetMode="External"/><Relationship Id="rId5" Type="http://schemas.openxmlformats.org/officeDocument/2006/relationships/hyperlink" Target="http://www.sec.gov/Archives/edgar/data/1401667/000143774925021153/ex_833086.htm" TargetMode="External"/><Relationship Id="rId6" Type="http://schemas.openxmlformats.org/officeDocument/2006/relationships/hyperlink" Target="http://www.sec.gov/Archives/edgar/data/1401667/000143774925021153/ex_833086.htm" TargetMode="External"/><Relationship Id="rId7" Type="http://schemas.openxmlformats.org/officeDocument/2006/relationships/hyperlink" Target="http://www.sec.gov/Archives/edgar/data/1401667/000143774925021153/ex_833086.htm" TargetMode="External"/><Relationship Id="rId8" Type="http://schemas.openxmlformats.org/officeDocument/2006/relationships/hyperlink" Target="http://www.sec.gov/Archives/edgar/data/1401667/000143774925025470/ex_84895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33195</Words>
  <Characters>184173</Characters>
  <CharactersWithSpaces>219406</CharactersWithSpaces>
  <Paragraphs>6969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