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pbyi20260630_10q.htm"/>
      <w:bookmarkStart w:id="1" w:name="kspbyi20260630_10q"/>
      <w:bookmarkEnd w:id="0"/>
      <w:bookmarkEnd w:id="1"/>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Washington, D.C. 20549</w:t>
      </w:r>
      <w:r>
        <w:rPr>
          <w:rFonts w:ascii="Times New Roman" w:hAnsi="Times New Roman"/>
          <w:caps w:val="false"/>
          <w:smallCaps w:val="false"/>
          <w:sz w:val="24"/>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10-Q</w:t>
      </w:r>
      <w:r>
        <w:rPr>
          <w:rFonts w:ascii="Times New Roman" w:hAnsi="Times New Roman"/>
          <w:caps w:val="false"/>
          <w:smallCaps w:val="false"/>
          <w:sz w:val="36"/>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OR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Commission File Number: 001-35703</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48"/>
        </w:rPr>
      </w:pPr>
      <w:r>
        <w:rPr>
          <w:rFonts w:ascii="Times New Roman" w:hAnsi="Times New Roman"/>
          <w:b/>
          <w:caps w:val="false"/>
          <w:smallCaps w:val="false"/>
          <w:sz w:val="48"/>
        </w:rPr>
        <w:t>PUMA BIOTECHNOLOGY, INC.</w:t>
      </w:r>
      <w:r>
        <w:rPr>
          <w:rFonts w:ascii="Times New Roman" w:hAnsi="Times New Roman"/>
          <w:caps w:val="false"/>
          <w:smallCaps w:val="false"/>
          <w:sz w:val="48"/>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its charter)</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645"/>
        <w:gridCol w:w="1955"/>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77-0683487</w:t>
            </w:r>
          </w:p>
        </w:tc>
      </w:tr>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9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10880 Wilshire Boulevard, Suite 1700, Los Angeles, CA 90024</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(Address of principal executive offices) (Zip code)</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(424) 248-6500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18"/>
        </w:rPr>
      </w:pPr>
      <w:r>
        <w:rPr>
          <w:rFonts w:ascii="Times New Roman" w:hAnsi="Times New Roman"/>
          <w:b/>
          <w:caps w:val="false"/>
          <w:smallCaps w:val="false"/>
          <w:sz w:val="18"/>
        </w:rPr>
        <w:t>(Registrant</w:t>
      </w:r>
      <w:r>
        <w:rPr>
          <w:rFonts w:ascii="Times New Roman" w:hAnsi="Times New Roman"/>
          <w:caps w:val="false"/>
          <w:smallCaps w:val="false"/>
          <w:sz w:val="18"/>
        </w:rPr>
        <w:t>’</w:t>
      </w:r>
      <w:r>
        <w:rPr>
          <w:rFonts w:ascii="Times New Roman" w:hAnsi="Times New Roman"/>
          <w:b/>
          <w:caps w:val="false"/>
          <w:smallCaps w:val="false"/>
          <w:sz w:val="18"/>
        </w:rPr>
        <w:t>s telephone number, including area code)</w:t>
      </w:r>
      <w:r>
        <w:rPr>
          <w:rFonts w:ascii="Times New Roman" w:hAnsi="Times New Roman"/>
          <w:caps w:val="false"/>
          <w:smallCaps w:val="false"/>
          <w:sz w:val="18"/>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3185"/>
        <w:gridCol w:w="800"/>
        <w:gridCol w:w="3350"/>
      </w:tblGrid>
      <w:tr>
        <w:trPr/>
        <w:tc>
          <w:tcPr>
            <w:tcW w:w="3185"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80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w:t>
            </w:r>
          </w:p>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Symbol(s)</w:t>
            </w:r>
          </w:p>
        </w:tc>
        <w:tc>
          <w:tcPr>
            <w:tcW w:w="3350" w:type="dxa"/>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3185" w:type="dxa"/>
            <w:tcBorders/>
            <w:vAlign w:val="center"/>
          </w:tcPr>
          <w:p>
            <w:pPr>
              <w:pStyle w:val="TableContents"/>
              <w:bidi w:val="0"/>
              <w:spacing w:before="0" w:after="0"/>
              <w:ind w:left="0" w:right="0" w:hanging="0"/>
              <w:jc w:val="left"/>
              <w:rPr/>
            </w:pPr>
            <w:r>
              <w:rPr/>
              <w:t> </w:t>
            </w:r>
          </w:p>
        </w:tc>
        <w:tc>
          <w:tcPr>
            <w:tcW w:w="800" w:type="dxa"/>
            <w:tcBorders/>
            <w:vAlign w:val="center"/>
          </w:tcPr>
          <w:p>
            <w:pPr>
              <w:pStyle w:val="TableContents"/>
              <w:bidi w:val="0"/>
              <w:spacing w:before="0" w:after="0"/>
              <w:ind w:left="0" w:right="0" w:hanging="0"/>
              <w:jc w:val="left"/>
              <w:rPr/>
            </w:pPr>
            <w:r>
              <w:rPr/>
              <w:t> </w:t>
            </w:r>
          </w:p>
        </w:tc>
        <w:tc>
          <w:tcPr>
            <w:tcW w:w="3350" w:type="dxa"/>
            <w:tcBorders/>
            <w:vAlign w:val="center"/>
          </w:tcPr>
          <w:p>
            <w:pPr>
              <w:pStyle w:val="TableContents"/>
              <w:bidi w:val="0"/>
              <w:spacing w:before="0" w:after="0"/>
              <w:ind w:left="0" w:right="0" w:hanging="0"/>
              <w:jc w:val="left"/>
              <w:rPr/>
            </w:pPr>
            <w:r>
              <w:rPr/>
              <w:t> </w:t>
            </w:r>
          </w:p>
        </w:tc>
      </w:tr>
      <w:tr>
        <w:trPr/>
        <w:tc>
          <w:tcPr>
            <w:tcW w:w="3185"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Common Stock, par value $0.0001 per share</w:t>
            </w:r>
          </w:p>
        </w:tc>
        <w:tc>
          <w:tcPr>
            <w:tcW w:w="80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PBYI</w:t>
            </w:r>
          </w:p>
        </w:tc>
        <w:tc>
          <w:tcPr>
            <w:tcW w:w="3350" w:type="dxa"/>
            <w:tcBorders/>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The NASDAQ Stock Market LLC</w:t>
            </w:r>
          </w:p>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w:t>
      </w:r>
      <w:r>
        <w:rPr>
          <w:rFonts w:ascii="Times New Roman" w:hAnsi="Times New Roman"/>
          <w:caps w:val="false"/>
          <w:smallCaps w:val="false"/>
          <w:sz w:val="18"/>
          <w:shd w:fill="FFFFFF" w:val="clear"/>
        </w:rPr>
        <w:t xml:space="preserve">s.    </w:t>
      </w: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w:t>
      </w:r>
      <w:r>
        <w:rPr>
          <w:rFonts w:ascii="Times New Roman" w:hAnsi="Times New Roman"/>
          <w:caps w:val="false"/>
          <w:smallCaps w:val="false"/>
          <w:sz w:val="18"/>
          <w:shd w:fill="FFFFFF" w:val="clear"/>
        </w:rPr>
        <w:t xml:space="preserve">s).    </w:t>
      </w:r>
      <w:r>
        <w:rPr>
          <w:rFonts w:ascii="Times New Roman" w:hAnsi="Times New Roman"/>
          <w:caps w:val="false"/>
          <w:smallCaps w:val="false"/>
          <w:sz w:val="18"/>
        </w:rPr>
        <w:t>Yes  ☒    No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1955"/>
        <w:gridCol w:w="230"/>
        <w:gridCol w:w="194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Accelerated filer</w:t>
            </w:r>
          </w:p>
        </w:tc>
        <w:tc>
          <w:tcPr>
            <w:tcW w:w="230" w:type="dxa"/>
            <w:tcBorders/>
            <w:vAlign w:val="center"/>
          </w:tcPr>
          <w:p>
            <w:pPr>
              <w:pStyle w:val="TableContents"/>
              <w:bidi w:val="0"/>
              <w:spacing w:before="0" w:after="283"/>
              <w:jc w:val="left"/>
              <w:rPr/>
            </w:pPr>
            <w:r>
              <w:rPr/>
              <w:t>☒</w:t>
            </w:r>
          </w:p>
        </w:tc>
      </w:tr>
      <w:tr>
        <w:trPr/>
        <w:tc>
          <w:tcPr>
            <w:tcW w:w="195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Non-accelerated filer</w:t>
            </w:r>
          </w:p>
        </w:tc>
        <w:tc>
          <w:tcPr>
            <w:tcW w:w="230" w:type="dxa"/>
            <w:tcBorders/>
            <w:vAlign w:val="center"/>
          </w:tcPr>
          <w:p>
            <w:pPr>
              <w:pStyle w:val="TableContents"/>
              <w:bidi w:val="0"/>
              <w:spacing w:before="0" w:after="0"/>
              <w:ind w:left="0" w:right="0" w:hanging="0"/>
              <w:jc w:val="left"/>
              <w:rPr>
                <w:caps w:val="false"/>
                <w:smallCaps w:val="false"/>
                <w:shd w:fill="FFFFFF" w:val="clear"/>
              </w:rPr>
            </w:pPr>
            <w:r>
              <w:rPr>
                <w:caps w:val="false"/>
                <w:smallCaps w:val="false"/>
                <w:shd w:fill="FFFFFF" w:val="clear"/>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18"/>
                <w:shd w:fill="FFFFFF" w:val="clear"/>
              </w:rPr>
            </w:pPr>
            <w:r>
              <w:rPr>
                <w:rFonts w:ascii="Times New Roman" w:hAnsi="Times New Roman"/>
                <w:caps w:val="false"/>
                <w:smallCaps w:val="false"/>
                <w:sz w:val="18"/>
                <w:shd w:fill="FFFFFF" w:val="clear"/>
              </w:rPr>
              <w:t>Smaller reporting company</w:t>
            </w:r>
          </w:p>
        </w:tc>
        <w:tc>
          <w:tcPr>
            <w:tcW w:w="230" w:type="dxa"/>
            <w:tcBorders/>
            <w:vAlign w:val="center"/>
          </w:tcPr>
          <w:p>
            <w:pPr>
              <w:pStyle w:val="TableContents"/>
              <w:bidi w:val="0"/>
              <w:spacing w:before="0" w:after="283"/>
              <w:jc w:val="left"/>
              <w:rPr>
                <w:shd w:fill="FFFFFF" w:val="clear"/>
              </w:rPr>
            </w:pPr>
            <w:r>
              <w:rPr>
                <w:shd w:fill="FFFFFF" w:val="clear"/>
              </w:rPr>
              <w:t>☒</w:t>
            </w:r>
          </w:p>
        </w:tc>
      </w:tr>
      <w:tr>
        <w:trPr/>
        <w:tc>
          <w:tcPr>
            <w:tcW w:w="1955"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194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Indicate by check mark whether the registrant is a shell company (as defined in Rule 12b-2 of the Exchange Act).    Yes  ☐    No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shd w:fill="FFFFFF" w:val="clear"/>
        </w:rPr>
        <w:t>Indicate the number of shares outstanding of each of the issuer</w:t>
      </w:r>
      <w:r>
        <w:rPr>
          <w:rFonts w:ascii="Times New Roman" w:hAnsi="Times New Roman"/>
          <w:caps w:val="false"/>
          <w:smallCaps w:val="false"/>
          <w:sz w:val="18"/>
        </w:rPr>
        <w:t>’</w:t>
      </w:r>
      <w:r>
        <w:rPr>
          <w:rFonts w:ascii="Times New Roman" w:hAnsi="Times New Roman"/>
          <w:caps w:val="false"/>
          <w:smallCaps w:val="false"/>
          <w:sz w:val="18"/>
          <w:shd w:fill="FFFFFF" w:val="clear"/>
        </w:rPr>
        <w:t>s classes of common stock, as of t</w:t>
      </w:r>
      <w:r>
        <w:rPr>
          <w:rFonts w:ascii="Times New Roman" w:hAnsi="Times New Roman"/>
          <w:caps w:val="false"/>
          <w:smallCaps w:val="false"/>
          <w:sz w:val="18"/>
        </w:rPr>
        <w:t>he latest practicable date. 51,620,066 shares of Common Stock, par value $0.0001 per share, were outstand</w:t>
      </w:r>
      <w:r>
        <w:rPr>
          <w:rFonts w:ascii="Times New Roman" w:hAnsi="Times New Roman"/>
          <w:caps w:val="false"/>
          <w:smallCaps w:val="false"/>
          <w:sz w:val="18"/>
          <w:shd w:fill="FFFFFF" w:val="clear"/>
        </w:rPr>
        <w:t>ing as of </w:t>
      </w:r>
      <w:r>
        <w:rPr>
          <w:rFonts w:ascii="Times New Roman" w:hAnsi="Times New Roman"/>
          <w:caps w:val="false"/>
          <w:smallCaps w:val="false"/>
          <w:sz w:val="18"/>
        </w:rPr>
        <w:t>August 3, 2026.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PUMA BIOTECHNOLOGY, INC.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INDEX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725"/>
        <w:gridCol w:w="8975"/>
        <w:gridCol w:w="440"/>
      </w:tblGrid>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Page</w:t>
            </w:r>
          </w:p>
        </w:tc>
      </w:tr>
      <w:tr>
        <w:trPr/>
        <w:tc>
          <w:tcPr>
            <w:tcW w:w="9700" w:type="dxa"/>
            <w:gridSpan w:val="2"/>
            <w:tcBorders/>
            <w:vAlign w:val="center"/>
          </w:tcPr>
          <w:p>
            <w:pPr>
              <w:pStyle w:val="TableContents"/>
              <w:bidi w:val="0"/>
              <w:spacing w:before="0" w:after="0"/>
              <w:ind w:left="240" w:right="0" w:hanging="240"/>
              <w:jc w:val="left"/>
              <w:rPr/>
            </w:pPr>
            <w:hyperlink w:anchor="BAL">
              <w:r>
                <w:rPr>
                  <w:rStyle w:val="InternetLink"/>
                  <w:rFonts w:ascii="Times New Roman" w:hAnsi="Times New Roman"/>
                  <w:b/>
                  <w:caps w:val="false"/>
                  <w:smallCaps w:val="false"/>
                  <w:sz w:val="18"/>
                </w:rPr>
                <w:t xml:space="preserve">PART I </w:t>
              </w:r>
            </w:hyperlink>
            <w:hyperlink w:anchor="BAL">
              <w:r>
                <w:rPr>
                  <w:rStyle w:val="InternetLink"/>
                  <w:rFonts w:ascii="Times New Roman" w:hAnsi="Times New Roman"/>
                  <w:caps w:val="false"/>
                  <w:smallCaps w:val="false"/>
                  <w:sz w:val="18"/>
                </w:rPr>
                <w:t>– </w:t>
              </w:r>
            </w:hyperlink>
            <w:hyperlink w:anchor="BAL">
              <w:r>
                <w:rPr>
                  <w:rStyle w:val="InternetLink"/>
                  <w:rFonts w:ascii="Times New Roman" w:hAnsi="Times New Roman"/>
                  <w:b/>
                  <w:caps w:val="false"/>
                  <w:smallCaps w:val="false"/>
                  <w:sz w:val="18"/>
                </w:rPr>
                <w:t>FINANCIAL INFORMATION:</w:t>
              </w:r>
            </w:hyperlink>
          </w:p>
        </w:tc>
        <w:tc>
          <w:tcPr>
            <w:tcW w:w="440" w:type="dxa"/>
            <w:tcBorders/>
            <w:vAlign w:val="center"/>
          </w:tcPr>
          <w:p>
            <w:pPr>
              <w:pStyle w:val="TableContents"/>
              <w:bidi w:val="0"/>
              <w:spacing w:before="0" w:after="0"/>
              <w:ind w:left="0" w:right="0" w:hanging="0"/>
              <w:jc w:val="right"/>
              <w:rPr/>
            </w:pPr>
            <w:hyperlink w:anchor="BAL">
              <w:r>
                <w:rPr>
                  <w:rStyle w:val="InternetLink"/>
                  <w:rFonts w:ascii="Times New Roman" w:hAnsi="Times New Roman"/>
                  <w:caps w:val="false"/>
                  <w:smallCaps w:val="false"/>
                  <w:sz w:val="18"/>
                </w:rPr>
                <w:t>1</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1.</w:t>
            </w:r>
          </w:p>
        </w:tc>
        <w:tc>
          <w:tcPr>
            <w:tcW w:w="8975" w:type="dxa"/>
            <w:tcBorders/>
            <w:vAlign w:val="center"/>
          </w:tcPr>
          <w:p>
            <w:pPr>
              <w:pStyle w:val="TableContents"/>
              <w:bidi w:val="0"/>
              <w:spacing w:before="0" w:after="0"/>
              <w:ind w:left="0" w:right="0" w:hanging="0"/>
              <w:jc w:val="left"/>
              <w:rPr/>
            </w:pPr>
            <w:hyperlink w:anchor="BAL">
              <w:r>
                <w:rPr>
                  <w:rStyle w:val="InternetLink"/>
                  <w:rFonts w:ascii="Times New Roman" w:hAnsi="Times New Roman"/>
                  <w:caps w:val="false"/>
                  <w:smallCaps w:val="false"/>
                  <w:sz w:val="18"/>
                </w:rPr>
                <w:t>Financial Statements (Unaudited):</w:t>
              </w:r>
            </w:hyperlink>
          </w:p>
        </w:tc>
        <w:tc>
          <w:tcPr>
            <w:tcW w:w="440" w:type="dxa"/>
            <w:tcBorders/>
            <w:vAlign w:val="center"/>
          </w:tcPr>
          <w:p>
            <w:pPr>
              <w:pStyle w:val="TableContents"/>
              <w:bidi w:val="0"/>
              <w:spacing w:before="0" w:after="0"/>
              <w:ind w:left="0" w:right="0" w:hanging="0"/>
              <w:jc w:val="right"/>
              <w:rPr/>
            </w:pPr>
            <w:hyperlink w:anchor="BAL">
              <w:r>
                <w:rPr>
                  <w:rStyle w:val="InternetLink"/>
                  <w:rFonts w:ascii="Times New Roman" w:hAnsi="Times New Roman"/>
                  <w:caps w:val="false"/>
                  <w:smallCaps w:val="false"/>
                  <w:sz w:val="18"/>
                </w:rPr>
                <w:t>1</w:t>
              </w:r>
            </w:hyperlink>
          </w:p>
        </w:tc>
      </w:tr>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0" w:right="0" w:hanging="0"/>
              <w:jc w:val="left"/>
              <w:rPr/>
            </w:pPr>
            <w:hyperlink w:anchor="BAL">
              <w:r>
                <w:rPr>
                  <w:rStyle w:val="InternetLink"/>
                  <w:rFonts w:ascii="Times New Roman" w:hAnsi="Times New Roman"/>
                  <w:caps w:val="false"/>
                  <w:smallCaps w:val="false"/>
                  <w:sz w:val="18"/>
                </w:rPr>
                <w:t>Condensed Consolidated Balance Sheets as of June 30, 2026 and December 31, 2025</w:t>
              </w:r>
            </w:hyperlink>
          </w:p>
        </w:tc>
        <w:tc>
          <w:tcPr>
            <w:tcW w:w="440" w:type="dxa"/>
            <w:tcBorders/>
            <w:vAlign w:val="center"/>
          </w:tcPr>
          <w:p>
            <w:pPr>
              <w:pStyle w:val="TableContents"/>
              <w:bidi w:val="0"/>
              <w:spacing w:before="0" w:after="0"/>
              <w:ind w:left="0" w:right="0" w:hanging="0"/>
              <w:jc w:val="right"/>
              <w:rPr/>
            </w:pPr>
            <w:hyperlink w:anchor="BAL">
              <w:r>
                <w:rPr>
                  <w:rStyle w:val="InternetLink"/>
                  <w:rFonts w:ascii="Times New Roman" w:hAnsi="Times New Roman"/>
                  <w:caps w:val="false"/>
                  <w:smallCaps w:val="false"/>
                  <w:sz w:val="18"/>
                </w:rPr>
                <w:t>1</w:t>
              </w:r>
            </w:hyperlink>
          </w:p>
        </w:tc>
      </w:tr>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260" w:right="0" w:hanging="260"/>
              <w:jc w:val="left"/>
              <w:rPr/>
            </w:pPr>
            <w:hyperlink w:anchor="income">
              <w:r>
                <w:rPr>
                  <w:rStyle w:val="InternetLink"/>
                  <w:rFonts w:ascii="Times New Roman" w:hAnsi="Times New Roman"/>
                  <w:caps w:val="false"/>
                  <w:smallCaps w:val="false"/>
                  <w:sz w:val="18"/>
                </w:rPr>
                <w:t>Condensed Consolidated Statements of Operations for the Three and Six Months Ended June 30, 2026 and 2025</w:t>
              </w:r>
            </w:hyperlink>
          </w:p>
        </w:tc>
        <w:tc>
          <w:tcPr>
            <w:tcW w:w="44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18"/>
                </w:rPr>
                <w:t>2</w:t>
              </w:r>
            </w:hyperlink>
          </w:p>
        </w:tc>
      </w:tr>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260" w:right="0" w:hanging="260"/>
              <w:jc w:val="left"/>
              <w:rPr/>
            </w:pPr>
            <w:hyperlink w:anchor="compinc">
              <w:r>
                <w:rPr>
                  <w:rStyle w:val="InternetLink"/>
                  <w:rFonts w:ascii="Times New Roman" w:hAnsi="Times New Roman"/>
                  <w:caps w:val="false"/>
                  <w:smallCaps w:val="false"/>
                  <w:sz w:val="18"/>
                </w:rPr>
                <w:t>Condensed Consolidated Statements of Comprehensive Income for the Three and Six Months Ended June 30, 2026 and 2025</w:t>
              </w:r>
            </w:hyperlink>
          </w:p>
        </w:tc>
        <w:tc>
          <w:tcPr>
            <w:tcW w:w="440" w:type="dxa"/>
            <w:tcBorders/>
            <w:vAlign w:val="center"/>
          </w:tcPr>
          <w:p>
            <w:pPr>
              <w:pStyle w:val="TableContents"/>
              <w:bidi w:val="0"/>
              <w:spacing w:before="0" w:after="0"/>
              <w:ind w:left="0" w:right="0" w:hanging="0"/>
              <w:jc w:val="right"/>
              <w:rPr/>
            </w:pPr>
            <w:hyperlink w:anchor="compinc">
              <w:r>
                <w:rPr>
                  <w:rStyle w:val="InternetLink"/>
                  <w:rFonts w:ascii="Times New Roman" w:hAnsi="Times New Roman"/>
                  <w:caps w:val="false"/>
                  <w:smallCaps w:val="false"/>
                  <w:sz w:val="18"/>
                </w:rPr>
                <w:t>3</w:t>
              </w:r>
            </w:hyperlink>
          </w:p>
        </w:tc>
      </w:tr>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260" w:right="0" w:hanging="260"/>
              <w:jc w:val="left"/>
              <w:rPr/>
            </w:pPr>
            <w:hyperlink w:anchor="she">
              <w:r>
                <w:rPr>
                  <w:rStyle w:val="InternetLink"/>
                  <w:rFonts w:ascii="Times New Roman" w:hAnsi="Times New Roman"/>
                  <w:caps w:val="false"/>
                  <w:smallCaps w:val="false"/>
                  <w:sz w:val="18"/>
                </w:rPr>
                <w:t>Condensed Consolidated Statements of Stockholder</w:t>
              </w:r>
            </w:hyperlink>
            <w:hyperlink w:anchor="she">
              <w:r>
                <w:rPr>
                  <w:rStyle w:val="InternetLink"/>
                  <w:rFonts w:ascii="Times New Roman" w:hAnsi="Times New Roman"/>
                  <w:caps w:val="false"/>
                  <w:smallCaps w:val="false"/>
                  <w:sz w:val="18"/>
                  <w:shd w:fill="FFFFFF" w:val="clear"/>
                </w:rPr>
                <w:t xml:space="preserve">s’ Equity for </w:t>
              </w:r>
            </w:hyperlink>
            <w:hyperlink w:anchor="she">
              <w:r>
                <w:rPr>
                  <w:rStyle w:val="InternetLink"/>
                  <w:rFonts w:ascii="Times New Roman" w:hAnsi="Times New Roman"/>
                  <w:caps w:val="false"/>
                  <w:smallCaps w:val="false"/>
                  <w:sz w:val="18"/>
                </w:rPr>
                <w:t>the Three and Six Months Ended June 30, 2026 and 2025</w:t>
              </w:r>
            </w:hyperlink>
          </w:p>
        </w:tc>
        <w:tc>
          <w:tcPr>
            <w:tcW w:w="440" w:type="dxa"/>
            <w:tcBorders/>
            <w:vAlign w:val="center"/>
          </w:tcPr>
          <w:p>
            <w:pPr>
              <w:pStyle w:val="TableContents"/>
              <w:bidi w:val="0"/>
              <w:spacing w:before="0" w:after="0"/>
              <w:ind w:left="0" w:right="0" w:hanging="0"/>
              <w:jc w:val="right"/>
              <w:rPr/>
            </w:pPr>
            <w:hyperlink w:anchor="she">
              <w:r>
                <w:rPr>
                  <w:rStyle w:val="InternetLink"/>
                  <w:rFonts w:ascii="Times New Roman" w:hAnsi="Times New Roman"/>
                  <w:caps w:val="false"/>
                  <w:smallCaps w:val="false"/>
                  <w:sz w:val="18"/>
                </w:rPr>
                <w:t>4</w:t>
              </w:r>
            </w:hyperlink>
          </w:p>
        </w:tc>
      </w:tr>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260" w:right="0" w:hanging="260"/>
              <w:jc w:val="left"/>
              <w:rPr/>
            </w:pPr>
            <w:hyperlink w:anchor="cf">
              <w:r>
                <w:rPr>
                  <w:rStyle w:val="InternetLink"/>
                  <w:rFonts w:ascii="Times New Roman" w:hAnsi="Times New Roman"/>
                  <w:caps w:val="false"/>
                  <w:smallCaps w:val="false"/>
                  <w:sz w:val="18"/>
                </w:rPr>
                <w:t>Condensed Consolidated Statements of Cash Flows for the Six Months Ended June 30, 2026 and 2025</w:t>
              </w:r>
            </w:hyperlink>
          </w:p>
        </w:tc>
        <w:tc>
          <w:tcPr>
            <w:tcW w:w="440" w:type="dxa"/>
            <w:tcBorders/>
            <w:vAlign w:val="center"/>
          </w:tcPr>
          <w:p>
            <w:pPr>
              <w:pStyle w:val="TableContents"/>
              <w:bidi w:val="0"/>
              <w:spacing w:before="0" w:after="0"/>
              <w:ind w:left="0" w:right="0" w:hanging="0"/>
              <w:jc w:val="right"/>
              <w:rPr/>
            </w:pPr>
            <w:hyperlink w:anchor="cf">
              <w:r>
                <w:rPr>
                  <w:rStyle w:val="InternetLink"/>
                  <w:rFonts w:ascii="Times New Roman" w:hAnsi="Times New Roman"/>
                  <w:caps w:val="false"/>
                  <w:smallCaps w:val="false"/>
                  <w:sz w:val="18"/>
                </w:rPr>
                <w:t>6</w:t>
              </w:r>
            </w:hyperlink>
          </w:p>
        </w:tc>
      </w:tr>
      <w:tr>
        <w:trPr/>
        <w:tc>
          <w:tcPr>
            <w:tcW w:w="725" w:type="dxa"/>
            <w:tcBorders/>
            <w:vAlign w:val="center"/>
          </w:tcPr>
          <w:p>
            <w:pPr>
              <w:pStyle w:val="TableContents"/>
              <w:bidi w:val="0"/>
              <w:spacing w:before="0" w:after="0"/>
              <w:ind w:left="0" w:right="0" w:hanging="0"/>
              <w:jc w:val="left"/>
              <w:rPr/>
            </w:pPr>
            <w:r>
              <w:rPr/>
              <w:t> </w:t>
            </w:r>
          </w:p>
        </w:tc>
        <w:tc>
          <w:tcPr>
            <w:tcW w:w="897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18"/>
                </w:rPr>
                <w:t>Notes to the Unaudited Condensed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18"/>
                </w:rPr>
                <w:t>7</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2.</w:t>
            </w:r>
          </w:p>
        </w:tc>
        <w:tc>
          <w:tcPr>
            <w:tcW w:w="8975"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18"/>
                </w:rPr>
                <w:t>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18"/>
                </w:rPr>
                <w:t>33</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3.</w:t>
            </w:r>
          </w:p>
        </w:tc>
        <w:tc>
          <w:tcPr>
            <w:tcW w:w="8975" w:type="dxa"/>
            <w:tcBorders/>
            <w:vAlign w:val="center"/>
          </w:tcPr>
          <w:p>
            <w:pPr>
              <w:pStyle w:val="TableContents"/>
              <w:bidi w:val="0"/>
              <w:spacing w:before="0" w:after="0"/>
              <w:ind w:left="0" w:right="0" w:hanging="0"/>
              <w:jc w:val="left"/>
              <w:rPr/>
            </w:pPr>
            <w:hyperlink w:anchor="qqdmr">
              <w:r>
                <w:rPr>
                  <w:rStyle w:val="InternetLink"/>
                  <w:rFonts w:ascii="Times New Roman" w:hAnsi="Times New Roman"/>
                  <w:caps w:val="false"/>
                  <w:smallCaps w:val="false"/>
                  <w:sz w:val="18"/>
                </w:rPr>
                <w:t>Quantitative and Qualitative Disclosures About Market Risk</w:t>
              </w:r>
            </w:hyperlink>
          </w:p>
        </w:tc>
        <w:tc>
          <w:tcPr>
            <w:tcW w:w="440" w:type="dxa"/>
            <w:tcBorders/>
            <w:vAlign w:val="center"/>
          </w:tcPr>
          <w:p>
            <w:pPr>
              <w:pStyle w:val="TableContents"/>
              <w:bidi w:val="0"/>
              <w:spacing w:before="0" w:after="0"/>
              <w:ind w:left="0" w:right="0" w:hanging="0"/>
              <w:jc w:val="right"/>
              <w:rPr/>
            </w:pPr>
            <w:hyperlink w:anchor="qqdmr">
              <w:r>
                <w:rPr>
                  <w:rStyle w:val="InternetLink"/>
                  <w:rFonts w:ascii="Times New Roman" w:hAnsi="Times New Roman"/>
                  <w:caps w:val="false"/>
                  <w:smallCaps w:val="false"/>
                  <w:sz w:val="18"/>
                </w:rPr>
                <w:t>42</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4.</w:t>
            </w:r>
          </w:p>
        </w:tc>
        <w:tc>
          <w:tcPr>
            <w:tcW w:w="8975" w:type="dxa"/>
            <w:tcBorders/>
            <w:vAlign w:val="center"/>
          </w:tcPr>
          <w:p>
            <w:pPr>
              <w:pStyle w:val="TableContents"/>
              <w:bidi w:val="0"/>
              <w:spacing w:before="0" w:after="0"/>
              <w:ind w:left="0" w:right="0" w:hanging="0"/>
              <w:jc w:val="left"/>
              <w:rPr/>
            </w:pPr>
            <w:hyperlink w:anchor="cp">
              <w:r>
                <w:rPr>
                  <w:rStyle w:val="InternetLink"/>
                  <w:rFonts w:ascii="Times New Roman" w:hAnsi="Times New Roman"/>
                  <w:caps w:val="false"/>
                  <w:smallCaps w:val="false"/>
                  <w:sz w:val="18"/>
                </w:rPr>
                <w:t>Controls and Procedures</w:t>
              </w:r>
            </w:hyperlink>
          </w:p>
        </w:tc>
        <w:tc>
          <w:tcPr>
            <w:tcW w:w="440" w:type="dxa"/>
            <w:tcBorders/>
            <w:vAlign w:val="center"/>
          </w:tcPr>
          <w:p>
            <w:pPr>
              <w:pStyle w:val="TableContents"/>
              <w:bidi w:val="0"/>
              <w:spacing w:before="0" w:after="0"/>
              <w:ind w:left="0" w:right="0" w:hanging="0"/>
              <w:jc w:val="right"/>
              <w:rPr/>
            </w:pPr>
            <w:hyperlink w:anchor="cp">
              <w:r>
                <w:rPr>
                  <w:rStyle w:val="InternetLink"/>
                  <w:rFonts w:ascii="Times New Roman" w:hAnsi="Times New Roman"/>
                  <w:caps w:val="false"/>
                  <w:smallCaps w:val="false"/>
                  <w:sz w:val="18"/>
                </w:rPr>
                <w:t>43</w:t>
              </w:r>
            </w:hyperlink>
          </w:p>
        </w:tc>
      </w:tr>
      <w:tr>
        <w:trPr/>
        <w:tc>
          <w:tcPr>
            <w:tcW w:w="9700" w:type="dxa"/>
            <w:gridSpan w:val="2"/>
            <w:tcBorders/>
            <w:vAlign w:val="center"/>
          </w:tcPr>
          <w:p>
            <w:pPr>
              <w:pStyle w:val="TableContents"/>
              <w:bidi w:val="0"/>
              <w:spacing w:before="0" w:after="0"/>
              <w:ind w:left="0" w:right="0" w:hanging="0"/>
              <w:jc w:val="left"/>
              <w:rPr/>
            </w:pPr>
            <w:hyperlink w:anchor="partii">
              <w:r>
                <w:rPr>
                  <w:rStyle w:val="InternetLink"/>
                  <w:rFonts w:ascii="Times New Roman" w:hAnsi="Times New Roman"/>
                  <w:b/>
                  <w:caps w:val="false"/>
                  <w:smallCaps w:val="false"/>
                  <w:sz w:val="18"/>
                </w:rPr>
                <w:t xml:space="preserve">PART II </w:t>
              </w:r>
            </w:hyperlink>
            <w:hyperlink w:anchor="partii">
              <w:r>
                <w:rPr>
                  <w:rStyle w:val="InternetLink"/>
                  <w:rFonts w:ascii="Times New Roman" w:hAnsi="Times New Roman"/>
                  <w:caps w:val="false"/>
                  <w:smallCaps w:val="false"/>
                  <w:sz w:val="18"/>
                </w:rPr>
                <w:t>– </w:t>
              </w:r>
            </w:hyperlink>
            <w:hyperlink w:anchor="partii">
              <w:r>
                <w:rPr>
                  <w:rStyle w:val="InternetLink"/>
                  <w:rFonts w:ascii="Times New Roman" w:hAnsi="Times New Roman"/>
                  <w:b/>
                  <w:caps w:val="false"/>
                  <w:smallCaps w:val="false"/>
                  <w:sz w:val="18"/>
                </w:rPr>
                <w:t>OTHER INFORMATION:</w:t>
              </w:r>
            </w:hyperlink>
          </w:p>
        </w:tc>
        <w:tc>
          <w:tcPr>
            <w:tcW w:w="440" w:type="dxa"/>
            <w:tcBorders/>
            <w:vAlign w:val="center"/>
          </w:tcPr>
          <w:p>
            <w:pPr>
              <w:pStyle w:val="TableContents"/>
              <w:bidi w:val="0"/>
              <w:spacing w:before="0" w:after="0"/>
              <w:ind w:left="0" w:right="0" w:hanging="0"/>
              <w:jc w:val="right"/>
              <w:rPr/>
            </w:pPr>
            <w:hyperlink w:anchor="partii">
              <w:r>
                <w:rPr>
                  <w:rStyle w:val="InternetLink"/>
                  <w:rFonts w:ascii="Times New Roman" w:hAnsi="Times New Roman"/>
                  <w:caps w:val="false"/>
                  <w:smallCaps w:val="false"/>
                  <w:sz w:val="18"/>
                </w:rPr>
                <w:t>43</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1.</w:t>
            </w:r>
          </w:p>
        </w:tc>
        <w:tc>
          <w:tcPr>
            <w:tcW w:w="897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18"/>
                </w:rPr>
                <w:t>Legal Proceedings</w:t>
              </w:r>
            </w:hyperlink>
          </w:p>
        </w:tc>
        <w:tc>
          <w:tcPr>
            <w:tcW w:w="44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18"/>
                </w:rPr>
                <w:t>43</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1A.</w:t>
            </w:r>
          </w:p>
        </w:tc>
        <w:tc>
          <w:tcPr>
            <w:tcW w:w="8975" w:type="dxa"/>
            <w:tcBorders/>
            <w:vAlign w:val="center"/>
          </w:tcPr>
          <w:p>
            <w:pPr>
              <w:pStyle w:val="TableContents"/>
              <w:bidi w:val="0"/>
              <w:spacing w:before="0" w:after="0"/>
              <w:ind w:left="0" w:right="0" w:hanging="0"/>
              <w:jc w:val="left"/>
              <w:rPr/>
            </w:pPr>
            <w:hyperlink w:anchor="risks">
              <w:r>
                <w:rPr>
                  <w:rStyle w:val="InternetLink"/>
                  <w:rFonts w:ascii="Times New Roman" w:hAnsi="Times New Roman"/>
                  <w:caps w:val="false"/>
                  <w:smallCaps w:val="false"/>
                  <w:sz w:val="18"/>
                </w:rPr>
                <w:t>Risk Factors</w:t>
              </w:r>
            </w:hyperlink>
          </w:p>
        </w:tc>
        <w:tc>
          <w:tcPr>
            <w:tcW w:w="440" w:type="dxa"/>
            <w:tcBorders/>
            <w:vAlign w:val="center"/>
          </w:tcPr>
          <w:p>
            <w:pPr>
              <w:pStyle w:val="TableContents"/>
              <w:bidi w:val="0"/>
              <w:spacing w:before="0" w:after="0"/>
              <w:ind w:left="0" w:right="0" w:hanging="0"/>
              <w:jc w:val="right"/>
              <w:rPr/>
            </w:pPr>
            <w:hyperlink w:anchor="risks">
              <w:r>
                <w:rPr>
                  <w:rStyle w:val="InternetLink"/>
                  <w:rFonts w:ascii="Times New Roman" w:hAnsi="Times New Roman"/>
                  <w:caps w:val="false"/>
                  <w:smallCaps w:val="false"/>
                  <w:sz w:val="18"/>
                </w:rPr>
                <w:t>47</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2.</w:t>
            </w:r>
          </w:p>
        </w:tc>
        <w:tc>
          <w:tcPr>
            <w:tcW w:w="8975" w:type="dxa"/>
            <w:tcBorders/>
            <w:vAlign w:val="center"/>
          </w:tcPr>
          <w:p>
            <w:pPr>
              <w:pStyle w:val="TableContents"/>
              <w:bidi w:val="0"/>
              <w:spacing w:before="0" w:after="0"/>
              <w:ind w:left="0" w:right="0" w:hanging="0"/>
              <w:jc w:val="left"/>
              <w:rPr/>
            </w:pPr>
            <w:hyperlink w:anchor="uses">
              <w:r>
                <w:rPr>
                  <w:rStyle w:val="InternetLink"/>
                  <w:rFonts w:ascii="Times New Roman" w:hAnsi="Times New Roman"/>
                  <w:caps w:val="false"/>
                  <w:smallCaps w:val="false"/>
                  <w:sz w:val="18"/>
                </w:rPr>
                <w:t>Unregistered Sales of Equity Securities and Use of Proceeds</w:t>
              </w:r>
            </w:hyperlink>
          </w:p>
        </w:tc>
        <w:tc>
          <w:tcPr>
            <w:tcW w:w="440" w:type="dxa"/>
            <w:tcBorders/>
            <w:vAlign w:val="center"/>
          </w:tcPr>
          <w:p>
            <w:pPr>
              <w:pStyle w:val="TableContents"/>
              <w:bidi w:val="0"/>
              <w:spacing w:before="0" w:after="0"/>
              <w:ind w:left="0" w:right="0" w:hanging="0"/>
              <w:jc w:val="right"/>
              <w:rPr/>
            </w:pPr>
            <w:hyperlink w:anchor="uses">
              <w:r>
                <w:rPr>
                  <w:rStyle w:val="InternetLink"/>
                  <w:rFonts w:ascii="Times New Roman" w:hAnsi="Times New Roman"/>
                  <w:caps w:val="false"/>
                  <w:smallCaps w:val="false"/>
                  <w:sz w:val="18"/>
                </w:rPr>
                <w:t>48</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3.</w:t>
            </w:r>
          </w:p>
        </w:tc>
        <w:tc>
          <w:tcPr>
            <w:tcW w:w="8975" w:type="dxa"/>
            <w:tcBorders/>
            <w:vAlign w:val="center"/>
          </w:tcPr>
          <w:p>
            <w:pPr>
              <w:pStyle w:val="TableContents"/>
              <w:bidi w:val="0"/>
              <w:spacing w:before="0" w:after="0"/>
              <w:ind w:left="0" w:right="0" w:hanging="0"/>
              <w:jc w:val="left"/>
              <w:rPr/>
            </w:pPr>
            <w:hyperlink w:anchor="duss">
              <w:r>
                <w:rPr>
                  <w:rStyle w:val="InternetLink"/>
                  <w:rFonts w:ascii="Times New Roman" w:hAnsi="Times New Roman"/>
                  <w:caps w:val="false"/>
                  <w:smallCaps w:val="false"/>
                  <w:sz w:val="18"/>
                </w:rPr>
                <w:t>Defaults Upon Senior Securities</w:t>
              </w:r>
            </w:hyperlink>
          </w:p>
        </w:tc>
        <w:tc>
          <w:tcPr>
            <w:tcW w:w="440" w:type="dxa"/>
            <w:tcBorders/>
            <w:vAlign w:val="center"/>
          </w:tcPr>
          <w:p>
            <w:pPr>
              <w:pStyle w:val="TableContents"/>
              <w:bidi w:val="0"/>
              <w:spacing w:before="0" w:after="0"/>
              <w:ind w:left="0" w:right="0" w:hanging="0"/>
              <w:jc w:val="right"/>
              <w:rPr/>
            </w:pPr>
            <w:hyperlink w:anchor="duss">
              <w:r>
                <w:rPr>
                  <w:rStyle w:val="InternetLink"/>
                  <w:rFonts w:ascii="Times New Roman" w:hAnsi="Times New Roman"/>
                  <w:caps w:val="false"/>
                  <w:smallCaps w:val="false"/>
                  <w:sz w:val="18"/>
                </w:rPr>
                <w:t>48</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4.</w:t>
            </w:r>
          </w:p>
        </w:tc>
        <w:tc>
          <w:tcPr>
            <w:tcW w:w="8975" w:type="dxa"/>
            <w:tcBorders/>
            <w:vAlign w:val="center"/>
          </w:tcPr>
          <w:p>
            <w:pPr>
              <w:pStyle w:val="TableContents"/>
              <w:bidi w:val="0"/>
              <w:spacing w:before="0" w:after="0"/>
              <w:ind w:left="0" w:right="0" w:hanging="0"/>
              <w:jc w:val="left"/>
              <w:rPr/>
            </w:pPr>
            <w:hyperlink w:anchor="msd">
              <w:r>
                <w:rPr>
                  <w:rStyle w:val="InternetLink"/>
                  <w:rFonts w:ascii="Times New Roman" w:hAnsi="Times New Roman"/>
                  <w:caps w:val="false"/>
                  <w:smallCaps w:val="false"/>
                  <w:sz w:val="18"/>
                </w:rPr>
                <w:t>Mine Safety Disclosures</w:t>
              </w:r>
            </w:hyperlink>
          </w:p>
        </w:tc>
        <w:tc>
          <w:tcPr>
            <w:tcW w:w="440" w:type="dxa"/>
            <w:tcBorders/>
            <w:vAlign w:val="center"/>
          </w:tcPr>
          <w:p>
            <w:pPr>
              <w:pStyle w:val="TableContents"/>
              <w:bidi w:val="0"/>
              <w:spacing w:before="0" w:after="0"/>
              <w:ind w:left="0" w:right="0" w:hanging="0"/>
              <w:jc w:val="right"/>
              <w:rPr/>
            </w:pPr>
            <w:hyperlink w:anchor="msd">
              <w:r>
                <w:rPr>
                  <w:rStyle w:val="InternetLink"/>
                  <w:rFonts w:ascii="Times New Roman" w:hAnsi="Times New Roman"/>
                  <w:caps w:val="false"/>
                  <w:smallCaps w:val="false"/>
                  <w:sz w:val="18"/>
                </w:rPr>
                <w:t>48</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5.</w:t>
            </w:r>
          </w:p>
        </w:tc>
        <w:tc>
          <w:tcPr>
            <w:tcW w:w="8975" w:type="dxa"/>
            <w:tcBorders/>
            <w:vAlign w:val="center"/>
          </w:tcPr>
          <w:p>
            <w:pPr>
              <w:pStyle w:val="TableContents"/>
              <w:bidi w:val="0"/>
              <w:spacing w:before="0" w:after="0"/>
              <w:ind w:left="0" w:right="0" w:hanging="0"/>
              <w:jc w:val="left"/>
              <w:rPr/>
            </w:pPr>
            <w:hyperlink w:anchor="oi">
              <w:r>
                <w:rPr>
                  <w:rStyle w:val="InternetLink"/>
                  <w:rFonts w:ascii="Times New Roman" w:hAnsi="Times New Roman"/>
                  <w:caps w:val="false"/>
                  <w:smallCaps w:val="false"/>
                  <w:sz w:val="18"/>
                </w:rPr>
                <w:t>Other Information</w:t>
              </w:r>
            </w:hyperlink>
          </w:p>
        </w:tc>
        <w:tc>
          <w:tcPr>
            <w:tcW w:w="440" w:type="dxa"/>
            <w:tcBorders/>
            <w:vAlign w:val="center"/>
          </w:tcPr>
          <w:p>
            <w:pPr>
              <w:pStyle w:val="TableContents"/>
              <w:bidi w:val="0"/>
              <w:spacing w:before="0" w:after="0"/>
              <w:ind w:left="0" w:right="0" w:hanging="0"/>
              <w:jc w:val="right"/>
              <w:rPr/>
            </w:pPr>
            <w:hyperlink w:anchor="oi">
              <w:r>
                <w:rPr>
                  <w:rStyle w:val="InternetLink"/>
                  <w:rFonts w:ascii="Times New Roman" w:hAnsi="Times New Roman"/>
                  <w:caps w:val="false"/>
                  <w:smallCaps w:val="false"/>
                  <w:sz w:val="18"/>
                </w:rPr>
                <w:t>48</w:t>
              </w:r>
            </w:hyperlink>
          </w:p>
        </w:tc>
      </w:tr>
      <w:tr>
        <w:trPr/>
        <w:tc>
          <w:tcPr>
            <w:tcW w:w="725"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Item 6.</w:t>
            </w:r>
          </w:p>
        </w:tc>
        <w:tc>
          <w:tcPr>
            <w:tcW w:w="8975" w:type="dxa"/>
            <w:tcBorders/>
            <w:vAlign w:val="center"/>
          </w:tcPr>
          <w:p>
            <w:pPr>
              <w:pStyle w:val="TableContents"/>
              <w:bidi w:val="0"/>
              <w:spacing w:before="0" w:after="0"/>
              <w:ind w:left="0" w:right="0" w:hanging="0"/>
              <w:jc w:val="left"/>
              <w:rPr/>
            </w:pPr>
            <w:hyperlink w:anchor="exs">
              <w:r>
                <w:rPr>
                  <w:rStyle w:val="InternetLink"/>
                  <w:rFonts w:ascii="Times New Roman" w:hAnsi="Times New Roman"/>
                  <w:caps w:val="false"/>
                  <w:smallCaps w:val="false"/>
                  <w:sz w:val="18"/>
                </w:rPr>
                <w:t>Exhibits</w:t>
              </w:r>
            </w:hyperlink>
          </w:p>
        </w:tc>
        <w:tc>
          <w:tcPr>
            <w:tcW w:w="440" w:type="dxa"/>
            <w:tcBorders/>
            <w:vAlign w:val="center"/>
          </w:tcPr>
          <w:p>
            <w:pPr>
              <w:pStyle w:val="TableContents"/>
              <w:bidi w:val="0"/>
              <w:spacing w:before="0" w:after="0"/>
              <w:ind w:left="0" w:right="0" w:hanging="0"/>
              <w:jc w:val="right"/>
              <w:rPr/>
            </w:pPr>
            <w:hyperlink w:anchor="exs">
              <w:r>
                <w:rPr>
                  <w:rStyle w:val="InternetLink"/>
                  <w:rFonts w:ascii="Times New Roman" w:hAnsi="Times New Roman"/>
                  <w:caps w:val="false"/>
                  <w:smallCaps w:val="false"/>
                  <w:sz w:val="18"/>
                </w:rPr>
                <w:t>49</w:t>
              </w:r>
            </w:hyperlink>
          </w:p>
        </w:tc>
      </w:tr>
      <w:tr>
        <w:trPr/>
        <w:tc>
          <w:tcPr>
            <w:tcW w:w="9700"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caps w:val="false"/>
                  <w:smallCaps w:val="false"/>
                  <w:sz w:val="18"/>
                </w:rPr>
                <w:t>Signatures</w:t>
              </w:r>
            </w:hyperlink>
          </w:p>
        </w:tc>
        <w:tc>
          <w:tcPr>
            <w:tcW w:w="440" w:type="dxa"/>
            <w:tcBorders/>
            <w:vAlign w:val="center"/>
          </w:tcPr>
          <w:p>
            <w:pPr>
              <w:pStyle w:val="TableContents"/>
              <w:bidi w:val="0"/>
              <w:spacing w:before="0" w:after="0"/>
              <w:ind w:left="0" w:right="0" w:hanging="0"/>
              <w:jc w:val="right"/>
              <w:rPr/>
            </w:pPr>
            <w:hyperlink w:anchor="sigs">
              <w:r>
                <w:rPr>
                  <w:rStyle w:val="InternetLink"/>
                  <w:rFonts w:ascii="Times New Roman" w:hAnsi="Times New Roman"/>
                  <w:caps w:val="false"/>
                  <w:smallCaps w:val="false"/>
                  <w:sz w:val="18"/>
                </w:rPr>
                <w:t>50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shd w:fill="FFFFFF" w:val="clear"/>
        </w:rPr>
        <w:t>CAUTIONARY STATEMENT REGARDING FORWARD-LOOKING STATEMENTS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This Quarterly Report on Form 10-Q (this “Quarterly Report”), contains forward-looking statements within the meaning of Section 21E of the Securities Exchange Act of 1934, as amended (the “Exchange Act”). Any statements about our expectations, beliefs, plans, objectives, assumptions, future events, or performance are not historical facts and may be forward looking. These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10"/>
        <w:gridCol w:w="59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commercialization of NERLYNX® (neratinib) tablets (“NERLYNX”);</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the development of our drug candidates, including when we expect to undertake, initiate and complete clinical trials of our drug candidates;</w:t>
            </w:r>
          </w:p>
        </w:tc>
      </w:tr>
    </w:tbl>
    <w:p>
      <w:pPr>
        <w:pStyle w:val="TextBody"/>
        <w:bidi w:val="0"/>
        <w:spacing w:before="0" w:after="0"/>
        <w:ind w:left="0" w:right="0" w:hanging="0"/>
        <w:jc w:val="left"/>
        <w:rPr/>
      </w:pPr>
      <w:r>
        <w:rPr/>
        <w:t> </w:t>
      </w:r>
    </w:p>
    <w:tbl>
      <w:tblPr>
        <w:tblW w:w="3715" w:type="dxa"/>
        <w:jc w:val="left"/>
        <w:tblInd w:w="0" w:type="dxa"/>
        <w:tblLayout w:type="fixed"/>
        <w:tblCellMar>
          <w:top w:w="0" w:type="dxa"/>
          <w:left w:w="0" w:type="dxa"/>
          <w:bottom w:w="0" w:type="dxa"/>
          <w:right w:w="0" w:type="dxa"/>
        </w:tblCellMar>
      </w:tblPr>
      <w:tblGrid>
        <w:gridCol w:w="60"/>
        <w:gridCol w:w="110"/>
        <w:gridCol w:w="35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anticipated timing of regulatory filings;</w:t>
            </w:r>
          </w:p>
        </w:tc>
      </w:tr>
    </w:tbl>
    <w:p>
      <w:pPr>
        <w:pStyle w:val="TextBody"/>
        <w:bidi w:val="0"/>
        <w:spacing w:before="0" w:after="0"/>
        <w:ind w:left="0" w:right="0" w:hanging="0"/>
        <w:jc w:val="left"/>
        <w:rPr/>
      </w:pPr>
      <w:r>
        <w:rPr/>
        <w:t> </w:t>
      </w:r>
    </w:p>
    <w:tbl>
      <w:tblPr>
        <w:tblW w:w="4015" w:type="dxa"/>
        <w:jc w:val="left"/>
        <w:tblInd w:w="0" w:type="dxa"/>
        <w:tblLayout w:type="fixed"/>
        <w:tblCellMar>
          <w:top w:w="0" w:type="dxa"/>
          <w:left w:w="0" w:type="dxa"/>
          <w:bottom w:w="0" w:type="dxa"/>
          <w:right w:w="0" w:type="dxa"/>
        </w:tblCellMar>
      </w:tblPr>
      <w:tblGrid>
        <w:gridCol w:w="60"/>
        <w:gridCol w:w="110"/>
        <w:gridCol w:w="38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regulatory approval of our drug candidates;</w:t>
            </w:r>
          </w:p>
        </w:tc>
      </w:tr>
    </w:tbl>
    <w:p>
      <w:pPr>
        <w:pStyle w:val="TextBody"/>
        <w:bidi w:val="0"/>
        <w:spacing w:before="0" w:after="0"/>
        <w:ind w:left="0" w:right="0" w:hanging="0"/>
        <w:jc w:val="left"/>
        <w:rPr/>
      </w:pPr>
      <w:r>
        <w:rPr/>
        <w:t> </w:t>
      </w:r>
    </w:p>
    <w:tbl>
      <w:tblPr>
        <w:tblW w:w="6070" w:type="dxa"/>
        <w:jc w:val="left"/>
        <w:tblInd w:w="0" w:type="dxa"/>
        <w:tblLayout w:type="fixed"/>
        <w:tblCellMar>
          <w:top w:w="0" w:type="dxa"/>
          <w:left w:w="0" w:type="dxa"/>
          <w:bottom w:w="0" w:type="dxa"/>
          <w:right w:w="0" w:type="dxa"/>
        </w:tblCellMar>
      </w:tblPr>
      <w:tblGrid>
        <w:gridCol w:w="60"/>
        <w:gridCol w:w="110"/>
        <w:gridCol w:w="59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use of clinical research organizations (“CRO”) and other contractors;</w:t>
            </w:r>
          </w:p>
        </w:tc>
      </w:tr>
    </w:tbl>
    <w:p>
      <w:pPr>
        <w:pStyle w:val="TextBody"/>
        <w:bidi w:val="0"/>
        <w:spacing w:before="0" w:after="0"/>
        <w:ind w:left="0" w:right="0" w:hanging="0"/>
        <w:jc w:val="left"/>
        <w:rPr/>
      </w:pPr>
      <w:r>
        <w:rPr/>
        <w:t> </w:t>
      </w:r>
    </w:p>
    <w:tbl>
      <w:tblPr>
        <w:tblW w:w="9325" w:type="dxa"/>
        <w:jc w:val="left"/>
        <w:tblInd w:w="0" w:type="dxa"/>
        <w:tblLayout w:type="fixed"/>
        <w:tblCellMar>
          <w:top w:w="0" w:type="dxa"/>
          <w:left w:w="0" w:type="dxa"/>
          <w:bottom w:w="0" w:type="dxa"/>
          <w:right w:w="0" w:type="dxa"/>
        </w:tblCellMar>
      </w:tblPr>
      <w:tblGrid>
        <w:gridCol w:w="60"/>
        <w:gridCol w:w="110"/>
        <w:gridCol w:w="915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find collaborative partners for research, development, and commercialization of potential products;</w:t>
            </w:r>
          </w:p>
        </w:tc>
      </w:tr>
    </w:tbl>
    <w:p>
      <w:pPr>
        <w:pStyle w:val="TextBody"/>
        <w:bidi w:val="0"/>
        <w:spacing w:before="0" w:after="0"/>
        <w:ind w:left="0" w:right="0" w:hanging="0"/>
        <w:jc w:val="left"/>
        <w:rPr/>
      </w:pPr>
      <w:r>
        <w:rPr/>
        <w:t> </w:t>
      </w:r>
    </w:p>
    <w:tbl>
      <w:tblPr>
        <w:tblW w:w="10105" w:type="dxa"/>
        <w:jc w:val="left"/>
        <w:tblInd w:w="0" w:type="dxa"/>
        <w:tblLayout w:type="fixed"/>
        <w:tblCellMar>
          <w:top w:w="0" w:type="dxa"/>
          <w:left w:w="0" w:type="dxa"/>
          <w:bottom w:w="0" w:type="dxa"/>
          <w:right w:w="0" w:type="dxa"/>
        </w:tblCellMar>
      </w:tblPr>
      <w:tblGrid>
        <w:gridCol w:w="60"/>
        <w:gridCol w:w="110"/>
        <w:gridCol w:w="99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efforts of our sub-licensees to obtain regulatory approval and commercialize NERLYNX in areas outside the United States;</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market any of our products;</w:t>
            </w:r>
          </w:p>
        </w:tc>
      </w:tr>
    </w:tbl>
    <w:p>
      <w:pPr>
        <w:pStyle w:val="TextBody"/>
        <w:bidi w:val="0"/>
        <w:spacing w:before="0" w:after="0"/>
        <w:ind w:left="0" w:right="0" w:hanging="0"/>
        <w:jc w:val="left"/>
        <w:rPr/>
      </w:pPr>
      <w:r>
        <w:rPr/>
        <w:t> </w:t>
      </w:r>
    </w:p>
    <w:tbl>
      <w:tblPr>
        <w:tblW w:w="4315" w:type="dxa"/>
        <w:jc w:val="left"/>
        <w:tblInd w:w="0" w:type="dxa"/>
        <w:tblLayout w:type="fixed"/>
        <w:tblCellMar>
          <w:top w:w="0" w:type="dxa"/>
          <w:left w:w="0" w:type="dxa"/>
          <w:bottom w:w="0" w:type="dxa"/>
          <w:right w:w="0" w:type="dxa"/>
        </w:tblCellMar>
      </w:tblPr>
      <w:tblGrid>
        <w:gridCol w:w="60"/>
        <w:gridCol w:w="110"/>
        <w:gridCol w:w="41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expectations regarding our costs and expenses;</w:t>
            </w:r>
          </w:p>
        </w:tc>
      </w:tr>
    </w:tbl>
    <w:p>
      <w:pPr>
        <w:pStyle w:val="TextBody"/>
        <w:bidi w:val="0"/>
        <w:spacing w:before="0" w:after="0"/>
        <w:ind w:left="0" w:right="0" w:hanging="0"/>
        <w:jc w:val="left"/>
        <w:rPr/>
      </w:pPr>
      <w:r>
        <w:rPr/>
        <w:t> </w:t>
      </w:r>
    </w:p>
    <w:tbl>
      <w:tblPr>
        <w:tblW w:w="9070" w:type="dxa"/>
        <w:jc w:val="left"/>
        <w:tblInd w:w="0" w:type="dxa"/>
        <w:tblLayout w:type="fixed"/>
        <w:tblCellMar>
          <w:top w:w="0" w:type="dxa"/>
          <w:left w:w="0" w:type="dxa"/>
          <w:bottom w:w="0" w:type="dxa"/>
          <w:right w:w="0" w:type="dxa"/>
        </w:tblCellMar>
      </w:tblPr>
      <w:tblGrid>
        <w:gridCol w:w="60"/>
        <w:gridCol w:w="110"/>
        <w:gridCol w:w="890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expected royalty rates for our sub-license agreements and expected timing of any changes in royalty rates;</w:t>
            </w:r>
          </w:p>
        </w:tc>
      </w:tr>
    </w:tbl>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anticipated capital requirements and estimates regarding our needs for additional financing;</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10"/>
        <w:gridCol w:w="591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compete against other companies and research institutions;</w:t>
            </w:r>
          </w:p>
        </w:tc>
      </w:tr>
    </w:tbl>
    <w:p>
      <w:pPr>
        <w:pStyle w:val="TextBody"/>
        <w:bidi w:val="0"/>
        <w:spacing w:before="0" w:after="0"/>
        <w:ind w:left="0" w:right="0" w:hanging="0"/>
        <w:jc w:val="left"/>
        <w:rPr/>
      </w:pPr>
      <w:r>
        <w:rPr/>
        <w:t> </w:t>
      </w:r>
    </w:p>
    <w:tbl>
      <w:tblPr>
        <w:tblW w:w="5830" w:type="dxa"/>
        <w:jc w:val="left"/>
        <w:tblInd w:w="0" w:type="dxa"/>
        <w:tblLayout w:type="fixed"/>
        <w:tblCellMar>
          <w:top w:w="0" w:type="dxa"/>
          <w:left w:w="0" w:type="dxa"/>
          <w:bottom w:w="0" w:type="dxa"/>
          <w:right w:w="0" w:type="dxa"/>
        </w:tblCellMar>
      </w:tblPr>
      <w:tblGrid>
        <w:gridCol w:w="60"/>
        <w:gridCol w:w="110"/>
        <w:gridCol w:w="566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secure adequate protection for our intellectual property;</w:t>
            </w:r>
          </w:p>
        </w:tc>
      </w:tr>
    </w:tbl>
    <w:p>
      <w:pPr>
        <w:pStyle w:val="TextBody"/>
        <w:bidi w:val="0"/>
        <w:spacing w:before="0" w:after="0"/>
        <w:ind w:left="0" w:right="0" w:hanging="0"/>
        <w:jc w:val="left"/>
        <w:rPr/>
      </w:pPr>
      <w:r>
        <w:rPr/>
        <w:t> </w:t>
      </w:r>
    </w:p>
    <w:tbl>
      <w:tblPr>
        <w:tblW w:w="8815" w:type="dxa"/>
        <w:jc w:val="left"/>
        <w:tblInd w:w="0" w:type="dxa"/>
        <w:tblLayout w:type="fixed"/>
        <w:tblCellMar>
          <w:top w:w="0" w:type="dxa"/>
          <w:left w:w="0" w:type="dxa"/>
          <w:bottom w:w="0" w:type="dxa"/>
          <w:right w:w="0" w:type="dxa"/>
        </w:tblCellMar>
      </w:tblPr>
      <w:tblGrid>
        <w:gridCol w:w="60"/>
        <w:gridCol w:w="110"/>
        <w:gridCol w:w="864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intention and ability to vigorously defend against any litigation to which we are or may become party;</w:t>
            </w:r>
          </w:p>
        </w:tc>
      </w:tr>
    </w:tbl>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60"/>
        <w:gridCol w:w="110"/>
        <w:gridCol w:w="336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in-license additional drugs;</w:t>
            </w:r>
          </w:p>
        </w:tc>
      </w:tr>
    </w:tbl>
    <w:p>
      <w:pPr>
        <w:pStyle w:val="TextBody"/>
        <w:bidi w:val="0"/>
        <w:spacing w:before="0" w:after="0"/>
        <w:ind w:left="0" w:right="0" w:hanging="0"/>
        <w:jc w:val="left"/>
        <w:rPr/>
      </w:pPr>
      <w:r>
        <w:rPr/>
        <w:t> </w:t>
      </w:r>
    </w:p>
    <w:tbl>
      <w:tblPr>
        <w:tblW w:w="4255" w:type="dxa"/>
        <w:jc w:val="left"/>
        <w:tblInd w:w="0" w:type="dxa"/>
        <w:tblLayout w:type="fixed"/>
        <w:tblCellMar>
          <w:top w:w="0" w:type="dxa"/>
          <w:left w:w="0" w:type="dxa"/>
          <w:bottom w:w="0" w:type="dxa"/>
          <w:right w:w="0" w:type="dxa"/>
        </w:tblCellMar>
      </w:tblPr>
      <w:tblGrid>
        <w:gridCol w:w="60"/>
        <w:gridCol w:w="110"/>
        <w:gridCol w:w="408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key personnel; and</w:t>
            </w:r>
          </w:p>
        </w:tc>
      </w:tr>
    </w:tbl>
    <w:p>
      <w:pPr>
        <w:pStyle w:val="TextBody"/>
        <w:bidi w:val="0"/>
        <w:spacing w:before="0" w:after="0"/>
        <w:ind w:left="0" w:right="0" w:hanging="0"/>
        <w:jc w:val="left"/>
        <w:rPr/>
      </w:pPr>
      <w:r>
        <w:rPr/>
        <w:t> </w:t>
      </w:r>
    </w:p>
    <w:tbl>
      <w:tblPr>
        <w:tblW w:w="5680" w:type="dxa"/>
        <w:jc w:val="left"/>
        <w:tblInd w:w="0" w:type="dxa"/>
        <w:tblLayout w:type="fixed"/>
        <w:tblCellMar>
          <w:top w:w="0" w:type="dxa"/>
          <w:left w:w="0" w:type="dxa"/>
          <w:bottom w:w="0" w:type="dxa"/>
          <w:right w:w="0" w:type="dxa"/>
        </w:tblCellMar>
      </w:tblPr>
      <w:tblGrid>
        <w:gridCol w:w="60"/>
        <w:gridCol w:w="110"/>
        <w:gridCol w:w="5510"/>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obtain adequate financing on favorable terms or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These statements are often, but not always, made through the use of words or phrases such as “anticipate,” “estimate,” “plan,” “project,” “continuing,” “ongoing,” “expect,” “believe,” “intend” and similar words or phrases. Accordingly, these statements involve estimates, assumptions and uncertainties that could cause actual results to differ materially from those expressed in them. Discussions containing these forward-looking statements may be found throughout this Quarterly Report, including, in Part I, the section entitled “Item 2. Management’s Discussion and Analysis of Financial Condition and Results of Operations.” These forward-looking statements involve risks and uncertainties, including the risks discussed in Part I, Item 1A. “Risk Factors” of our Annual Report on Form 10-K for the year ended December 31, 2025, and this Quarterly Report on Form 10-Q, that could cause our actual results to differ materially from those in the forward-looking statements. Such risks should be considered in evaluating our prospects and future financial performance. We undertake no obligation to update the forward-looking statements or to reflect events or circumstances after the date of this document.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16"/>
          </w:rPr>
          <w:t>Table of Contents</w:t>
        </w:r>
      </w:hyperlink>
      <w:r>
        <w:rPr>
          <w:rFonts w:ascii="Times New Roman" w:hAnsi="Times New Roman"/>
          <w:caps w:val="false"/>
          <w:smallCaps w:val="false"/>
          <w:sz w:val="16"/>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Part I – FINANCIAL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317" w:type="dxa"/>
        <w:jc w:val="left"/>
        <w:tblInd w:w="0" w:type="dxa"/>
        <w:tblLayout w:type="fixed"/>
        <w:tblCellMar>
          <w:top w:w="28" w:type="dxa"/>
          <w:left w:w="28" w:type="dxa"/>
          <w:bottom w:w="28" w:type="dxa"/>
          <w:right w:w="28" w:type="dxa"/>
        </w:tblCellMar>
      </w:tblPr>
      <w:tblGrid>
        <w:gridCol w:w="706"/>
        <w:gridCol w:w="2611"/>
      </w:tblGrid>
      <w:tr>
        <w:trPr/>
        <w:tc>
          <w:tcPr>
            <w:tcW w:w="706"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Item 1.</w:t>
            </w:r>
          </w:p>
        </w:tc>
        <w:tc>
          <w:tcPr>
            <w:tcW w:w="261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3" w:name="BAL"/>
      <w:bookmarkEnd w:id="3"/>
      <w:r>
        <w:rPr>
          <w:rFonts w:ascii="Times New Roman" w:hAnsi="Times New Roman"/>
          <w:b/>
          <w:caps w:val="false"/>
          <w:smallCaps w:val="false"/>
          <w:sz w:val="20"/>
        </w:rPr>
        <w:t>PUMA BIOTECHNOLOGY,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3"/>
        <w:gridCol w:w="60"/>
        <w:gridCol w:w="132"/>
        <w:gridCol w:w="962"/>
        <w:gridCol w:w="80"/>
        <w:gridCol w:w="60"/>
        <w:gridCol w:w="153"/>
        <w:gridCol w:w="1112"/>
        <w:gridCol w:w="83"/>
      </w:tblGrid>
      <w:tr>
        <w:trPr/>
        <w:tc>
          <w:tcPr>
            <w:tcW w:w="75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29,635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Marketable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current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current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current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145,072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162,686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36,522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long-term</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192,736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LIABILITIES AND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50,031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current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commitment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liabilities, current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49,825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81,253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liabilities, long-term</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4,709</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85,962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12)</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0"/>
              <w:ind w:left="0" w:right="0" w:hanging="0"/>
              <w:jc w:val="left"/>
              <w:rPr/>
            </w:pPr>
            <w:r>
              <w:rPr/>
              <w:t> </w:t>
            </w:r>
          </w:p>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0"/>
              <w:ind w:left="0" w:right="0" w:hanging="0"/>
              <w:jc w:val="left"/>
              <w:rPr/>
            </w:pPr>
            <w:r>
              <w:rPr/>
              <w:t> </w:t>
            </w:r>
          </w:p>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 $0.0001 par value per share; 100,000,000 shares authorized; 51,102,687 shares issued and outstanding at June 30, 2026 and 50,408,023 issued and outstanding at December 31, 2025</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1,417,923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1,414,074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56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 income</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shd w:fill="FFFFFF" w:val="clear"/>
            <w:vAlign w:val="center"/>
          </w:tcPr>
          <w:p>
            <w:pPr>
              <w:pStyle w:val="TableContents"/>
              <w:bidi w:val="0"/>
              <w:spacing w:before="0" w:after="0"/>
              <w:ind w:left="0" w:right="0" w:hanging="0"/>
              <w:jc w:val="left"/>
              <w:rPr/>
            </w:pPr>
            <w:r>
              <w:rPr/>
              <w:t> </w:t>
            </w:r>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(1,283,775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6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6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192,736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216,302</w:t>
            </w:r>
          </w:p>
        </w:tc>
        <w:tc>
          <w:tcPr>
            <w:tcW w:w="8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4" w:name="income"/>
      <w:bookmarkEnd w:id="4"/>
      <w:r>
        <w:rPr>
          <w:rFonts w:ascii="Times New Roman;Times;serif" w:hAnsi="Times New Roman;Times;serif"/>
          <w:b/>
          <w:sz w:val="20"/>
        </w:rPr>
        <w:t>PUMA BIOTECHNOLOGY, INC. AND SUBSIDIARY</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30"/>
        <w:gridCol w:w="60"/>
        <w:gridCol w:w="159"/>
        <w:gridCol w:w="1213"/>
        <w:gridCol w:w="101"/>
        <w:gridCol w:w="76"/>
        <w:gridCol w:w="159"/>
        <w:gridCol w:w="1213"/>
        <w:gridCol w:w="80"/>
        <w:gridCol w:w="60"/>
        <w:gridCol w:w="150"/>
        <w:gridCol w:w="1149"/>
        <w:gridCol w:w="96"/>
        <w:gridCol w:w="72"/>
        <w:gridCol w:w="150"/>
        <w:gridCol w:w="1149"/>
        <w:gridCol w:w="88"/>
      </w:tblGrid>
      <w:tr>
        <w:trPr/>
        <w:tc>
          <w:tcPr>
            <w:tcW w:w="4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 June 30,</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3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2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revenue, net</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53,560</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49,188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95,519</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92,292</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Royalty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2,942</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6,151</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56,502</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52,436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101,316</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98,443</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costs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12,475</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22,899</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22,857</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17,547</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18,047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35,970</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35,651</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18,895</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38,690</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29,315</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48,917</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97,559</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87,823</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from 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7,585</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3,757</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10,620</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left"/>
              <w:rPr/>
            </w:pPr>
            <w:r>
              <w:rPr/>
              <w:t> </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1,833</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2,057</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1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(911</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(4,014</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769</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(expenses), net</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1,061</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before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8,245</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4,818</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9,432</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10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(382</w:t>
            </w:r>
          </w:p>
        </w:tc>
        <w:tc>
          <w:tcPr>
            <w:tcW w:w="9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(603</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8,189</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8,829</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 of common stock—basic</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 of common stock—diluted</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4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outstanding—basic</w:t>
            </w:r>
          </w:p>
        </w:tc>
        <w:tc>
          <w:tcPr>
            <w:tcW w:w="60"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50,939,946</w:t>
            </w:r>
          </w:p>
        </w:tc>
        <w:tc>
          <w:tcPr>
            <w:tcW w:w="101"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121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49,700,217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50,892,800</w:t>
            </w:r>
          </w:p>
        </w:tc>
        <w:tc>
          <w:tcPr>
            <w:tcW w:w="96"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49,648,246</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4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shares of common stock outstanding—diluted</w:t>
            </w:r>
          </w:p>
        </w:tc>
        <w:tc>
          <w:tcPr>
            <w:tcW w:w="60"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52,596,589</w:t>
            </w:r>
          </w:p>
        </w:tc>
        <w:tc>
          <w:tcPr>
            <w:tcW w:w="101"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21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50,144,704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52,278,925</w:t>
            </w:r>
          </w:p>
        </w:tc>
        <w:tc>
          <w:tcPr>
            <w:tcW w:w="96"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50,003,709</w:t>
            </w:r>
          </w:p>
        </w:tc>
        <w:tc>
          <w:tcPr>
            <w:tcW w:w="88"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5" w:name="compinc"/>
      <w:bookmarkEnd w:id="5"/>
      <w:r>
        <w:rPr>
          <w:rFonts w:ascii="Times New Roman;Times;serif" w:hAnsi="Times New Roman;Times;serif"/>
          <w:b/>
          <w:sz w:val="20"/>
        </w:rPr>
        <w:t>PUMA BIOTECHNOLOGY, INC. AND SUBSIDIARY</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COMPREHENSIVE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7"/>
        <w:gridCol w:w="60"/>
        <w:gridCol w:w="260"/>
        <w:gridCol w:w="1011"/>
        <w:gridCol w:w="166"/>
        <w:gridCol w:w="124"/>
        <w:gridCol w:w="260"/>
        <w:gridCol w:w="1011"/>
        <w:gridCol w:w="80"/>
        <w:gridCol w:w="60"/>
        <w:gridCol w:w="244"/>
        <w:gridCol w:w="949"/>
        <w:gridCol w:w="156"/>
        <w:gridCol w:w="117"/>
        <w:gridCol w:w="244"/>
        <w:gridCol w:w="949"/>
        <w:gridCol w:w="87"/>
      </w:tblGrid>
      <w:tr>
        <w:trPr/>
        <w:tc>
          <w:tcPr>
            <w:tcW w:w="442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5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 June 30,</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42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66"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56"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11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42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8,189</w:t>
            </w:r>
          </w:p>
        </w:tc>
        <w:tc>
          <w:tcPr>
            <w:tcW w:w="166" w:type="dxa"/>
            <w:tcBorders/>
            <w:shd w:fill="CCEEFF" w:val="clear"/>
            <w:vAlign w:val="center"/>
          </w:tcPr>
          <w:p>
            <w:pPr>
              <w:pStyle w:val="TableContents"/>
              <w:bidi w:val="0"/>
              <w:spacing w:before="0" w:after="0"/>
              <w:ind w:left="0" w:right="0" w:hanging="0"/>
              <w:jc w:val="left"/>
              <w:rPr/>
            </w:pPr>
            <w:r>
              <w:rPr/>
              <w:t> </w:t>
            </w:r>
          </w:p>
        </w:tc>
        <w:tc>
          <w:tcPr>
            <w:tcW w:w="124" w:type="dxa"/>
            <w:tcBorders/>
            <w:shd w:fill="CCEEFF" w:val="clear"/>
            <w:vAlign w:val="center"/>
          </w:tcPr>
          <w:p>
            <w:pPr>
              <w:pStyle w:val="TableContents"/>
              <w:bidi w:val="0"/>
              <w:spacing w:before="0" w:after="0"/>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w:t>
            </w:r>
          </w:p>
        </w:tc>
        <w:tc>
          <w:tcPr>
            <w:tcW w:w="156"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8,829</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011" w:type="dxa"/>
            <w:tcBorders/>
            <w:shd w:fill="FFFFFF" w:val="clear"/>
            <w:vAlign w:val="center"/>
          </w:tcPr>
          <w:p>
            <w:pPr>
              <w:pStyle w:val="TableContents"/>
              <w:bidi w:val="0"/>
              <w:spacing w:before="0" w:after="0"/>
              <w:ind w:left="0" w:right="0" w:hanging="0"/>
              <w:jc w:val="left"/>
              <w:rPr/>
            </w:pPr>
            <w:r>
              <w:rPr/>
              <w:t> </w:t>
            </w:r>
          </w:p>
        </w:tc>
        <w:tc>
          <w:tcPr>
            <w:tcW w:w="166"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260" w:type="dxa"/>
            <w:tcBorders/>
            <w:shd w:fill="FFFFFF" w:val="clear"/>
            <w:vAlign w:val="center"/>
          </w:tcPr>
          <w:p>
            <w:pPr>
              <w:pStyle w:val="TableContents"/>
              <w:bidi w:val="0"/>
              <w:spacing w:before="0" w:after="0"/>
              <w:ind w:left="0" w:right="0" w:hanging="0"/>
              <w:jc w:val="left"/>
              <w:rPr/>
            </w:pPr>
            <w:r>
              <w:rPr/>
              <w:t> </w:t>
            </w:r>
          </w:p>
        </w:tc>
        <w:tc>
          <w:tcPr>
            <w:tcW w:w="101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949"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244" w:type="dxa"/>
            <w:tcBorders/>
            <w:shd w:fill="FFFFFF" w:val="clear"/>
            <w:vAlign w:val="center"/>
          </w:tcPr>
          <w:p>
            <w:pPr>
              <w:pStyle w:val="TableContents"/>
              <w:bidi w:val="0"/>
              <w:spacing w:before="0" w:after="0"/>
              <w:ind w:left="0" w:right="0" w:hanging="0"/>
              <w:jc w:val="left"/>
              <w:rPr/>
            </w:pPr>
            <w:r>
              <w:rPr/>
              <w:t> </w:t>
            </w:r>
          </w:p>
        </w:tc>
        <w:tc>
          <w:tcPr>
            <w:tcW w:w="949"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42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loss on available-for-sale securities, net of tax of $0</w:t>
            </w:r>
          </w:p>
        </w:tc>
        <w:tc>
          <w:tcPr>
            <w:tcW w:w="60" w:type="dxa"/>
            <w:tcBorders/>
            <w:shd w:fill="CCEE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6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24" w:type="dxa"/>
            <w:tcBorders/>
            <w:shd w:fill="CCEEFF" w:val="clear"/>
            <w:vAlign w:val="center"/>
          </w:tcPr>
          <w:p>
            <w:pPr>
              <w:pStyle w:val="TableContents"/>
              <w:bidi w:val="0"/>
              <w:spacing w:before="0" w:after="0"/>
              <w:ind w:left="0" w:right="0" w:hanging="0"/>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15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7" w:type="dxa"/>
            <w:tcBorders/>
            <w:shd w:fill="CCEEFF" w:val="clear"/>
            <w:vAlign w:val="center"/>
          </w:tcPr>
          <w:p>
            <w:pPr>
              <w:pStyle w:val="TableContents"/>
              <w:bidi w:val="0"/>
              <w:spacing w:before="0" w:after="0"/>
              <w:ind w:left="0" w:right="0" w:hanging="0"/>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42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income</w:t>
            </w:r>
          </w:p>
        </w:tc>
        <w:tc>
          <w:tcPr>
            <w:tcW w:w="60" w:type="dxa"/>
            <w:tcBorders/>
            <w:shd w:fill="FFFFFF" w:val="clear"/>
            <w:vAlign w:val="center"/>
          </w:tcPr>
          <w:p>
            <w:pPr>
              <w:pStyle w:val="TableContents"/>
              <w:bidi w:val="0"/>
              <w:spacing w:before="0" w:after="0"/>
              <w:ind w:left="0" w:right="0" w:hanging="0"/>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8,175</w:t>
            </w:r>
          </w:p>
        </w:tc>
        <w:tc>
          <w:tcPr>
            <w:tcW w:w="166"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1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4,355</w:t>
            </w:r>
          </w:p>
        </w:tc>
        <w:tc>
          <w:tcPr>
            <w:tcW w:w="156"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8,809</w:t>
            </w:r>
          </w:p>
        </w:tc>
        <w:tc>
          <w:tcPr>
            <w:tcW w:w="87"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6" w:name="she"/>
      <w:bookmarkEnd w:id="6"/>
      <w:r>
        <w:rPr>
          <w:rFonts w:ascii="Times New Roman;Times;serif" w:hAnsi="Times New Roman;Times;serif"/>
          <w:b/>
          <w:sz w:val="20"/>
        </w:rPr>
        <w:t>PUMA BIOTECHNOLOGY, INC. AND SUBSIDIARY</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data)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5"/>
        <w:gridCol w:w="23"/>
        <w:gridCol w:w="23"/>
        <w:gridCol w:w="950"/>
        <w:gridCol w:w="23"/>
        <w:gridCol w:w="23"/>
        <w:gridCol w:w="220"/>
        <w:gridCol w:w="460"/>
        <w:gridCol w:w="23"/>
        <w:gridCol w:w="23"/>
        <w:gridCol w:w="125"/>
        <w:gridCol w:w="845"/>
        <w:gridCol w:w="23"/>
        <w:gridCol w:w="23"/>
        <w:gridCol w:w="389"/>
        <w:gridCol w:w="906"/>
        <w:gridCol w:w="80"/>
        <w:gridCol w:w="23"/>
        <w:gridCol w:w="135"/>
        <w:gridCol w:w="980"/>
        <w:gridCol w:w="80"/>
        <w:gridCol w:w="23"/>
        <w:gridCol w:w="125"/>
        <w:gridCol w:w="695"/>
        <w:gridCol w:w="80"/>
      </w:tblGrid>
      <w:tr>
        <w:trPr/>
        <w:tc>
          <w:tcPr>
            <w:tcW w:w="6643" w:type="dxa"/>
            <w:gridSpan w:val="1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Three Months Ended June 30, 2026</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9" w:type="dxa"/>
            <w:tcBorders/>
            <w:vAlign w:val="center"/>
          </w:tcPr>
          <w:p>
            <w:pPr>
              <w:pStyle w:val="TableContents"/>
              <w:bidi w:val="0"/>
              <w:spacing w:before="0" w:after="0"/>
              <w:ind w:left="0" w:right="0" w:hanging="0"/>
              <w:jc w:val="left"/>
              <w:rPr/>
            </w:pPr>
            <w:r>
              <w:rPr/>
              <w:t>​</w:t>
            </w:r>
          </w:p>
        </w:tc>
        <w:tc>
          <w:tcPr>
            <w:tcW w:w="906"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99"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Loss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50,879,204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1,415,970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(1,287,528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128,416</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46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9" w:type="dxa"/>
            <w:tcBorders/>
            <w:shd w:fill="FFFFFF" w:val="clear"/>
            <w:vAlign w:val="center"/>
          </w:tcPr>
          <w:p>
            <w:pPr>
              <w:pStyle w:val="TableContents"/>
              <w:bidi w:val="0"/>
              <w:spacing w:before="0" w:after="0"/>
              <w:ind w:left="0" w:right="0" w:hanging="0"/>
              <w:jc w:val="left"/>
              <w:rPr/>
            </w:pPr>
            <w:r>
              <w:rPr/>
              <w:t>​</w:t>
            </w:r>
          </w:p>
        </w:tc>
        <w:tc>
          <w:tcPr>
            <w:tcW w:w="90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1,953</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223,483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on available-for-sale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46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9" w:type="dxa"/>
            <w:tcBorders/>
            <w:shd w:fill="FFFFFF" w:val="clear"/>
            <w:vAlign w:val="center"/>
          </w:tcPr>
          <w:p>
            <w:pPr>
              <w:pStyle w:val="TableContents"/>
              <w:bidi w:val="0"/>
              <w:spacing w:before="0" w:after="0"/>
              <w:ind w:left="0" w:right="0" w:hanging="0"/>
              <w:jc w:val="left"/>
              <w:rPr/>
            </w:pPr>
            <w:r>
              <w:rPr/>
              <w:t>​</w:t>
            </w:r>
          </w:p>
        </w:tc>
        <w:tc>
          <w:tcPr>
            <w:tcW w:w="9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8,189</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51,102,687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1,417,923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(1,279,339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138,544</w:t>
            </w:r>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05"/>
        <w:gridCol w:w="23"/>
        <w:gridCol w:w="23"/>
        <w:gridCol w:w="950"/>
        <w:gridCol w:w="23"/>
        <w:gridCol w:w="23"/>
        <w:gridCol w:w="220"/>
        <w:gridCol w:w="460"/>
        <w:gridCol w:w="23"/>
        <w:gridCol w:w="23"/>
        <w:gridCol w:w="125"/>
        <w:gridCol w:w="845"/>
        <w:gridCol w:w="23"/>
        <w:gridCol w:w="23"/>
        <w:gridCol w:w="389"/>
        <w:gridCol w:w="906"/>
        <w:gridCol w:w="80"/>
        <w:gridCol w:w="23"/>
        <w:gridCol w:w="135"/>
        <w:gridCol w:w="980"/>
        <w:gridCol w:w="80"/>
        <w:gridCol w:w="23"/>
        <w:gridCol w:w="125"/>
        <w:gridCol w:w="695"/>
        <w:gridCol w:w="80"/>
      </w:tblGrid>
      <w:tr>
        <w:trPr/>
        <w:tc>
          <w:tcPr>
            <w:tcW w:w="7984" w:type="dxa"/>
            <w:gridSpan w:val="16"/>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For the Three Months Ended June 30, 2025</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460"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Other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980"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99"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vAlign w:val="center"/>
          </w:tcPr>
          <w:p>
            <w:pPr>
              <w:pStyle w:val="TableContents"/>
              <w:bidi w:val="0"/>
              <w:spacing w:before="0" w:after="0"/>
              <w:ind w:left="0" w:right="0" w:hanging="0"/>
              <w:jc w:val="left"/>
              <w:rPr/>
            </w:pPr>
            <w:r>
              <w:rPr/>
              <w:t>​</w:t>
            </w:r>
          </w:p>
        </w:tc>
      </w:tr>
      <w:tr>
        <w:trPr/>
        <w:tc>
          <w:tcPr>
            <w:tcW w:w="39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49,615,174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1,409,026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(1,311,912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97,108</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46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9" w:type="dxa"/>
            <w:tcBorders/>
            <w:shd w:fill="FFFFFF" w:val="clear"/>
            <w:vAlign w:val="center"/>
          </w:tcPr>
          <w:p>
            <w:pPr>
              <w:pStyle w:val="TableContents"/>
              <w:bidi w:val="0"/>
              <w:spacing w:before="0" w:after="0"/>
              <w:ind w:left="0" w:right="0" w:hanging="0"/>
              <w:jc w:val="left"/>
              <w:rPr/>
            </w:pPr>
            <w:r>
              <w:rPr/>
              <w:t>​</w:t>
            </w:r>
          </w:p>
        </w:tc>
        <w:tc>
          <w:tcPr>
            <w:tcW w:w="906"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1,628</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Shares issued or restricted stock units vested under employee stock plans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277,551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46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shd w:fill="CCEEFF" w:val="clear"/>
            <w:vAlign w:val="center"/>
          </w:tcPr>
          <w:p>
            <w:pPr>
              <w:pStyle w:val="TableContents"/>
              <w:bidi w:val="0"/>
              <w:spacing w:before="0" w:after="0"/>
              <w:ind w:left="0" w:right="0" w:hanging="0"/>
              <w:jc w:val="left"/>
              <w:rPr/>
            </w:pPr>
            <w:r>
              <w:rPr/>
              <w:t>​</w:t>
            </w:r>
          </w:p>
        </w:tc>
        <w:tc>
          <w:tcPr>
            <w:tcW w:w="906"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8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Unrealized loss on available-for-sale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46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9" w:type="dxa"/>
            <w:tcBorders/>
            <w:shd w:fill="FFFFFF" w:val="clear"/>
            <w:vAlign w:val="center"/>
          </w:tcPr>
          <w:p>
            <w:pPr>
              <w:pStyle w:val="TableContents"/>
              <w:bidi w:val="0"/>
              <w:spacing w:before="0" w:after="0"/>
              <w:ind w:left="0" w:right="0" w:hanging="0"/>
              <w:jc w:val="left"/>
              <w:rPr/>
            </w:pPr>
            <w:r>
              <w:rPr/>
              <w:t>​</w:t>
            </w:r>
          </w:p>
        </w:tc>
        <w:tc>
          <w:tcPr>
            <w:tcW w:w="9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8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5,855</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9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Balance at June 30, 2025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49,892,725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1,410,784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(1,306,057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104,718</w:t>
            </w:r>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PUMA BIOTECHNOLOGY, INC. AND SUBSIDIARY</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data)</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5"/>
        <w:gridCol w:w="60"/>
        <w:gridCol w:w="60"/>
        <w:gridCol w:w="950"/>
        <w:gridCol w:w="60"/>
        <w:gridCol w:w="60"/>
        <w:gridCol w:w="220"/>
        <w:gridCol w:w="460"/>
        <w:gridCol w:w="60"/>
        <w:gridCol w:w="60"/>
        <w:gridCol w:w="125"/>
        <w:gridCol w:w="845"/>
        <w:gridCol w:w="60"/>
        <w:gridCol w:w="60"/>
        <w:gridCol w:w="389"/>
        <w:gridCol w:w="906"/>
        <w:gridCol w:w="80"/>
        <w:gridCol w:w="60"/>
        <w:gridCol w:w="135"/>
        <w:gridCol w:w="980"/>
        <w:gridCol w:w="80"/>
        <w:gridCol w:w="60"/>
        <w:gridCol w:w="125"/>
        <w:gridCol w:w="695"/>
        <w:gridCol w:w="80"/>
      </w:tblGrid>
      <w:tr>
        <w:trPr/>
        <w:tc>
          <w:tcPr>
            <w:tcW w:w="10125" w:type="dxa"/>
            <w:gridSpan w:val="2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For the Six Months Ended June 30, 2026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 (Loss)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50,408,023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1,414,074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(1,283,775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130,340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694,664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available-for-sale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51,102,687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1,417,923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(1,279,339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138,544</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35"/>
        <w:gridCol w:w="60"/>
        <w:gridCol w:w="60"/>
        <w:gridCol w:w="950"/>
        <w:gridCol w:w="60"/>
        <w:gridCol w:w="60"/>
        <w:gridCol w:w="220"/>
        <w:gridCol w:w="460"/>
        <w:gridCol w:w="60"/>
        <w:gridCol w:w="60"/>
        <w:gridCol w:w="125"/>
        <w:gridCol w:w="845"/>
        <w:gridCol w:w="60"/>
        <w:gridCol w:w="60"/>
        <w:gridCol w:w="389"/>
        <w:gridCol w:w="906"/>
        <w:gridCol w:w="80"/>
        <w:gridCol w:w="60"/>
        <w:gridCol w:w="135"/>
        <w:gridCol w:w="980"/>
        <w:gridCol w:w="80"/>
        <w:gridCol w:w="60"/>
        <w:gridCol w:w="125"/>
        <w:gridCol w:w="695"/>
        <w:gridCol w:w="80"/>
      </w:tblGrid>
      <w:tr>
        <w:trPr/>
        <w:tc>
          <w:tcPr>
            <w:tcW w:w="10125" w:type="dxa"/>
            <w:gridSpan w:val="24"/>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For the Six Months Ended June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Additional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Paid-in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Capital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Income (Loss)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Deficit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49,105,834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1,407,000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(1,314,886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or restricted stock units vested under employee stock plans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786,891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shd w:fill="CCEEFF" w:val="clear"/>
            <w:vAlign w:val="center"/>
          </w:tcPr>
          <w:p>
            <w:pPr>
              <w:pStyle w:val="TableContents"/>
              <w:bidi w:val="0"/>
              <w:spacing w:before="0" w:after="0"/>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 on available-for-sale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shd w:fill="FFFFFF" w:val="clear"/>
            <w:vAlign w:val="center"/>
          </w:tcPr>
          <w:p>
            <w:pPr>
              <w:pStyle w:val="TableContents"/>
              <w:bidi w:val="0"/>
              <w:spacing w:before="0" w:after="0"/>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49,892,725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1,410,784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104,718</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7" w:name="cf"/>
      <w:bookmarkEnd w:id="7"/>
      <w:r>
        <w:rPr>
          <w:rFonts w:ascii="Times New Roman;Times;serif" w:hAnsi="Times New Roman;Times;serif"/>
          <w:b/>
          <w:sz w:val="20"/>
        </w:rPr>
        <w:t>PUMA BIOTECHNOLOGY, INC. AND SUBSIDIARY</w:t>
      </w:r>
      <w:r>
        <w:rPr>
          <w:rFonts w:ascii="Times New Roman;Times;serif" w:hAnsi="Times New Roman;Times;serif"/>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717" w:type="dxa"/>
        <w:jc w:val="left"/>
        <w:tblInd w:w="0" w:type="dxa"/>
        <w:tblLayout w:type="fixed"/>
        <w:tblCellMar>
          <w:top w:w="0" w:type="dxa"/>
          <w:left w:w="0" w:type="dxa"/>
          <w:bottom w:w="0" w:type="dxa"/>
          <w:right w:w="0" w:type="dxa"/>
        </w:tblCellMar>
      </w:tblPr>
      <w:tblGrid>
        <w:gridCol w:w="6620"/>
        <w:gridCol w:w="60"/>
        <w:gridCol w:w="218"/>
        <w:gridCol w:w="1138"/>
        <w:gridCol w:w="140"/>
        <w:gridCol w:w="105"/>
        <w:gridCol w:w="218"/>
        <w:gridCol w:w="1138"/>
        <w:gridCol w:w="80"/>
      </w:tblGrid>
      <w:tr>
        <w:trPr/>
        <w:tc>
          <w:tcPr>
            <w:tcW w:w="66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sz w:val="20"/>
              </w:rPr>
              <w:t>For the Six Months Ended June 30,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13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4,436</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5,100</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5,559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3,849</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Provision for credit loss recovery</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pPr>
            <w:r>
              <w:rPr/>
              <w:t>—</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Loss on disposal of property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19,594</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Inventory, net</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(7,809</w:t>
            </w:r>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(1,951</w:t>
            </w:r>
          </w:p>
        </w:tc>
        <w:tc>
          <w:tcPr>
            <w:tcW w:w="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Operating lease assets and liabilities, net</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w:t>
            </w:r>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(5,043</w:t>
            </w:r>
          </w:p>
        </w:tc>
        <w:tc>
          <w:tcPr>
            <w:tcW w:w="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(4,999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Post-marketing commitment liability</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w:t>
            </w:r>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provided by operating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17,040</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17,694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property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pPr>
            <w:r>
              <w:rPr/>
              <w:t>—</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available-for-sale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(46,429</w:t>
            </w:r>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(34,420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Maturity of available-for-sale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56,875</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24,784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provided by (used by) investing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10,446</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proceeds from shares issued under employee stock plans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pPr>
            <w:r>
              <w:rPr/>
              <w:t>—</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Payment of debt</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(22,230</w:t>
            </w:r>
          </w:p>
        </w:tc>
        <w:tc>
          <w:tcPr>
            <w:tcW w:w="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(22,220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Payment of exit costs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(445</w:t>
            </w:r>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financing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(22,675</w:t>
            </w:r>
          </w:p>
        </w:tc>
        <w:tc>
          <w:tcPr>
            <w:tcW w:w="1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(22,534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4,811</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6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beginning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31,726</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71,310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36,537</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56,753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62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140" w:type="dxa"/>
            <w:tcBorders/>
            <w:shd w:fill="CCEEFF" w:val="clear"/>
            <w:vAlign w:val="center"/>
          </w:tcPr>
          <w:p>
            <w:pPr>
              <w:pStyle w:val="TableContents"/>
              <w:bidi w:val="0"/>
              <w:spacing w:before="0" w:after="0"/>
              <w:ind w:left="0" w:right="0" w:hanging="0"/>
              <w:jc w:val="left"/>
              <w:rPr/>
            </w:pPr>
            <w:r>
              <w:rPr/>
              <w:t>​</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6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Supplemental disclosures of non-cash investing and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Property and equipment purchases in 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0"/>
              <w:ind w:left="0" w:right="0" w:hanging="0"/>
              <w:jc w:val="right"/>
              <w:rPr/>
            </w:pPr>
            <w:r>
              <w:rPr/>
              <w:t>—</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Supplemental disclosure of cash flow information:</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140" w:type="dxa"/>
            <w:tcBorders/>
            <w:shd w:fill="FFFFFF" w:val="clear"/>
            <w:vAlign w:val="center"/>
          </w:tcPr>
          <w:p>
            <w:pPr>
              <w:pStyle w:val="TableContents"/>
              <w:bidi w:val="0"/>
              <w:spacing w:before="0" w:after="0"/>
              <w:ind w:left="0" w:right="0" w:hanging="0"/>
              <w:jc w:val="left"/>
              <w:rPr/>
            </w:pPr>
            <w:r>
              <w:rPr/>
              <w:t>​</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0"/>
              <w:ind w:left="0" w:right="0" w:hanging="0"/>
              <w:jc w:val="left"/>
              <w:rPr/>
            </w:pPr>
            <w:r>
              <w:rPr/>
              <w:t> </w:t>
            </w:r>
          </w:p>
        </w:tc>
        <w:tc>
          <w:tcPr>
            <w:tcW w:w="113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62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paid</w:t>
            </w:r>
          </w:p>
        </w:tc>
        <w:tc>
          <w:tcPr>
            <w:tcW w:w="60"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w:t>
            </w:r>
          </w:p>
        </w:tc>
        <w:tc>
          <w:tcPr>
            <w:tcW w:w="140" w:type="dxa"/>
            <w:tcBorders/>
            <w:shd w:fill="CCEEFF" w:val="clear"/>
            <w:vAlign w:val="center"/>
          </w:tcPr>
          <w:p>
            <w:pPr>
              <w:pStyle w:val="TableContents"/>
              <w:bidi w:val="0"/>
              <w:spacing w:before="0" w:after="0"/>
              <w:ind w:left="0" w:right="0" w:hanging="0"/>
              <w:jc w:val="left"/>
              <w:rPr/>
            </w:pPr>
            <w:r>
              <w:rPr/>
              <w:t> </w:t>
            </w:r>
          </w:p>
        </w:tc>
        <w:tc>
          <w:tcPr>
            <w:tcW w:w="105" w:type="dxa"/>
            <w:tcBorders/>
            <w:shd w:fill="CCEEFF" w:val="clear"/>
            <w:vAlign w:val="center"/>
          </w:tcPr>
          <w:p>
            <w:pPr>
              <w:pStyle w:val="TableContents"/>
              <w:bidi w:val="0"/>
              <w:spacing w:before="0" w:after="0"/>
              <w:ind w:left="0" w:right="0" w:hanging="0"/>
              <w:jc w:val="left"/>
              <w:rPr/>
            </w:pPr>
            <w:r>
              <w:rPr/>
              <w:t> </w:t>
            </w:r>
          </w:p>
        </w:tc>
        <w:tc>
          <w:tcPr>
            <w:tcW w:w="21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62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taxes paid</w:t>
            </w:r>
          </w:p>
        </w:tc>
        <w:tc>
          <w:tcPr>
            <w:tcW w:w="60"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624</w:t>
            </w:r>
          </w:p>
        </w:tc>
        <w:tc>
          <w:tcPr>
            <w:tcW w:w="140" w:type="dxa"/>
            <w:tcBorders/>
            <w:shd w:fill="FFFFFF" w:val="clear"/>
            <w:vAlign w:val="center"/>
          </w:tcPr>
          <w:p>
            <w:pPr>
              <w:pStyle w:val="TableContents"/>
              <w:bidi w:val="0"/>
              <w:spacing w:before="0" w:after="0"/>
              <w:ind w:left="0" w:right="0" w:hanging="0"/>
              <w:jc w:val="left"/>
              <w:rPr/>
            </w:pPr>
            <w:r>
              <w:rPr/>
              <w:t> </w:t>
            </w:r>
          </w:p>
        </w:tc>
        <w:tc>
          <w:tcPr>
            <w:tcW w:w="105" w:type="dxa"/>
            <w:tcBorders/>
            <w:shd w:fill="FFFFFF" w:val="clear"/>
            <w:vAlign w:val="center"/>
          </w:tcPr>
          <w:p>
            <w:pPr>
              <w:pStyle w:val="TableContents"/>
              <w:bidi w:val="0"/>
              <w:spacing w:before="0" w:after="0"/>
              <w:ind w:left="0" w:right="0" w:hanging="0"/>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1,030</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notes"/>
      <w:bookmarkEnd w:id="8"/>
      <w:r>
        <w:rPr>
          <w:rFonts w:ascii="Times New Roman" w:hAnsi="Times New Roman"/>
          <w:b/>
          <w:caps w:val="false"/>
          <w:smallCaps w:val="false"/>
          <w:sz w:val="20"/>
        </w:rPr>
        <w:t>PUMA BIOTECHNOLOGY,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NOTES TO THE UNAUDITED CONDENSED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caps w:val="false"/>
          <w:smallCaps w:val="false"/>
          <w:sz w:val="20"/>
        </w:rPr>
        <w:t>—</w:t>
      </w:r>
      <w:r>
        <w:rPr>
          <w:rFonts w:ascii="Times New Roman" w:hAnsi="Times New Roman"/>
          <w:b/>
          <w:caps w:val="false"/>
          <w:smallCaps w:val="false"/>
          <w:sz w:val="20"/>
        </w:rPr>
        <w:t>Business and Basis of Presentation: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Business and Liquidity:</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Puma Biotechnology, Inc., (the “Company”) is a biopharmaceutical company based in Los Angeles, California that develops and commercializes innovative products to enhance cancer care and improve treatment outcomes for patients. The Company is currently commercializing NERLYNX®, an oral version of neratinib (“NERLYNX”), for the treatment of </w:t>
      </w:r>
      <w:r>
        <w:rPr>
          <w:rStyle w:val="Emphasis"/>
          <w:rFonts w:ascii="Times New Roman" w:hAnsi="Times New Roman"/>
          <w:caps w:val="false"/>
          <w:smallCaps w:val="false"/>
          <w:sz w:val="20"/>
        </w:rPr>
        <w:t>HER2</w:t>
      </w:r>
      <w:r>
        <w:rPr>
          <w:rFonts w:ascii="Times New Roman" w:hAnsi="Times New Roman"/>
          <w:caps w:val="false"/>
          <w:smallCaps w:val="false"/>
          <w:sz w:val="20"/>
        </w:rPr>
        <w:t>-positive breast cancer. Additionally, the Company in-licensed, and is responsible for the global development and commercialization of, alisertib. Alisertib is a selective, small molecule inhibitor of Aurora Kinase A that is designed to disrupt mitosis leading to apoptosis of rapidly proliferating tumor cells dependent on Aurora Kinase. The Company believes alisertib has potential application in the treatment of a range of different cancer types, including hormone receptor-positive breast cancer, triple-negative breast cancer, and small cell lung cancer.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one subsidiary, Puma Biotechnology, B.V., a Netherlands company. This subsidiary was established for the purpose of legal representation in the European Union (“EU”). The consolidated financial statements include the accounts of the Company and its wholly owned subsidiary. All intercompany accounts and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of the Company and its subsidiary have been prepared in accordance with generally accepted accounting principles in the United States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has incurred significant operating losses since its inception. While the Company has reported net income, the Company cannot ensure that it will continue to do so and will need to continue to generate significant revenue to sustain operations and successfully commercialize neratinib. In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Company received U.S. Food and Drug Administration (“FDA”) approval for its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product, NERLYNX® (neratinib), formerly known as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oral), for the extended adjuvant treatment of adult patients with early stage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-overexpressed/amplified breast cancer following adjuvant trastuzumab-based therapy. Following FDA approval in </w:t>
      </w:r>
      <w:r>
        <w:rPr>
          <w:rStyle w:val="Emphasis"/>
          <w:rFonts w:ascii="Times New Roman" w:hAnsi="Times New Roman"/>
          <w:caps w:val="false"/>
          <w:smallCaps w:val="false"/>
          <w:sz w:val="20"/>
        </w:rPr>
        <w:t xml:space="preserve">July 2017, </w:t>
      </w:r>
      <w:r>
        <w:rPr>
          <w:rFonts w:ascii="Times New Roman" w:hAnsi="Times New Roman"/>
          <w:caps w:val="false"/>
          <w:smallCaps w:val="false"/>
          <w:sz w:val="20"/>
        </w:rPr>
        <w:t>NERLYNX became available by prescription in the United States, and the Company commenced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2020, </w:t>
      </w:r>
      <w:r>
        <w:rPr>
          <w:rFonts w:ascii="Times New Roman" w:hAnsi="Times New Roman"/>
          <w:caps w:val="false"/>
          <w:smallCaps w:val="false"/>
          <w:sz w:val="20"/>
        </w:rPr>
        <w:t xml:space="preserve">NERLYNX was also approved by the FDA in combination with capecitabine for the treatment of adult patients with advanced or metastatic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-positive breast cancer who have received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or more prior anti-</w:t>
      </w:r>
      <w:r>
        <w:rPr>
          <w:rStyle w:val="Emphasis"/>
          <w:rFonts w:ascii="Times New Roman" w:hAnsi="Times New Roman"/>
          <w:caps w:val="false"/>
          <w:smallCaps w:val="false"/>
          <w:sz w:val="20"/>
        </w:rPr>
        <w:t>HER2</w:t>
      </w:r>
      <w:r>
        <w:rPr>
          <w:rFonts w:ascii="Times New Roman" w:hAnsi="Times New Roman"/>
          <w:caps w:val="false"/>
          <w:smallCaps w:val="false"/>
          <w:sz w:val="20"/>
        </w:rPr>
        <w:t>-based regimens in the metastatic setting.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European Commission (“EC”) granted marketing authorization for NERLYNX in the EU for the extended adjuvant treatment of adult patients with early stage hormone receptor-positive </w:t>
      </w:r>
      <w:r>
        <w:rPr>
          <w:rStyle w:val="Emphasis"/>
          <w:rFonts w:ascii="Times New Roman" w:hAnsi="Times New Roman"/>
          <w:caps w:val="false"/>
          <w:smallCaps w:val="false"/>
          <w:sz w:val="20"/>
        </w:rPr>
        <w:t>HER2</w:t>
      </w:r>
      <w:r>
        <w:rPr>
          <w:rFonts w:ascii="Times New Roman" w:hAnsi="Times New Roman"/>
          <w:caps w:val="false"/>
          <w:smallCaps w:val="false"/>
          <w:sz w:val="20"/>
        </w:rPr>
        <w:t xml:space="preserve">-overexpressed/amplified breast cancer and who are less than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from the completion of prior adjuvant trastuzumab-based therapy.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is required to make substantial payments to Pfizer upon the achievement of certain milestones and has contractual obligations for clinical trial contracts.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entered into other exclusive sub-license agreements with various parties to pursue regulatory approval, if necessary, and commercialize NERLYNX, if approved, in many regions outside the United States, including Europe (excluding Ukraine), Australia, Canada, China, Southeast Asia, Israel, South Korea, Russia and various countries and territories in Central America, South America, Africa, and the Middle East. The Company plans to continue to pursue commercialization of NERLYNX in other countries outside the United States, if approved.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a subsidiary of Takeda Pharmaceutical Company Limited (“Takeda”) to license the worldwide research and development and commercial rights to alisertib, a selective, small-molecule, orally administered inhibitor of Aurora Kinase A. Alisertib is an adenosine triphosphate–competitive and reversible inhibitor of Aurora Kinase A and results in disruption of mitosis, leading to apoptosis of rapidly proliferating tumor cells that are dependent on Aurora Kinase A. Alisertib has been tested in clinical trials in patients with metastatic cancers, including breast cancer, small cell lung cancer, head and neck cancer, ovarian cancer, peripheral T-cell lymphoma and acute myeloid leukemia. Under the terms of the exclusive license agreement, the Company assumed sole responsibility for the global development and commercialization of alisertib. The Company paid Takeda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and Takeda is eligible to receive potential future milestone payments of up to $287.3 million upon the Company’s achievement of certain regulatory and commercial milestones over the course of the exclusive license agreement, as well as tiered royalty payments for any net sales of alisertib.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had been accrued as the underlying contingencies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has reported net income of approximately $4.4 </w:t>
      </w:r>
      <w:r>
        <w:rPr>
          <w:rFonts w:ascii="Times New Roman" w:hAnsi="Times New Roman"/>
          <w:caps w:val="false"/>
          <w:smallCaps w:val="false"/>
          <w:sz w:val="20"/>
          <w:shd w:fill="FFFFFF" w:val="clear"/>
        </w:rPr>
        <w:t>million and</w:t>
      </w:r>
      <w:r>
        <w:rPr>
          <w:rFonts w:ascii="Times New Roman" w:hAnsi="Times New Roman"/>
          <w:caps w:val="false"/>
          <w:smallCaps w:val="false"/>
          <w:sz w:val="20"/>
        </w:rPr>
        <w:t> cash provided by operations of approximately $17.0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The Company’s commercialization, research and development or marketing efforts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funding in addition to the cash and cash equivalents and marketable securities totaling approximately $93.9 million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The Company believes that its existing cash and cash equivalents and marketable securities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proceeds that are expected to become available to the Company through product sales and sub-license payments are sufficient to satisfy its operating cash needs for at least </w:t>
      </w:r>
      <w:r>
        <w:rPr>
          <w:rStyle w:val="Emphasis"/>
          <w:rFonts w:ascii="Times New Roman" w:hAnsi="Times New Roman"/>
          <w:caps w:val="false"/>
          <w:smallCaps w:val="false"/>
          <w:sz w:val="20"/>
        </w:rPr>
        <w:t>one</w:t>
      </w:r>
      <w:r>
        <w:rPr>
          <w:rFonts w:ascii="Times New Roman" w:hAnsi="Times New Roman"/>
          <w:caps w:val="false"/>
          <w:smallCaps w:val="false"/>
          <w:sz w:val="20"/>
        </w:rPr>
        <w:t> year after th</w:t>
      </w:r>
      <w:r>
        <w:rPr>
          <w:rFonts w:ascii="Times New Roman" w:hAnsi="Times New Roman"/>
          <w:caps w:val="false"/>
          <w:smallCaps w:val="false"/>
          <w:sz w:val="20"/>
          <w:shd w:fill="FFFFFF" w:val="clear"/>
        </w:rPr>
        <w:t>e filing of the Quarterly Report on Form </w:t>
      </w:r>
      <w:r>
        <w:rPr>
          <w:rStyle w:val="Emphasis"/>
          <w:rFonts w:ascii="Times New Roman" w:hAnsi="Times New Roman"/>
          <w:caps w:val="false"/>
          <w:smallCaps w:val="false"/>
          <w:sz w:val="20"/>
          <w:shd w:fill="FFFFFF" w:val="clear"/>
        </w:rPr>
        <w:t>10</w:t>
      </w:r>
      <w:r>
        <w:rPr>
          <w:rFonts w:ascii="Times New Roman" w:hAnsi="Times New Roman"/>
          <w:caps w:val="false"/>
          <w:smallCaps w:val="false"/>
          <w:sz w:val="20"/>
          <w:shd w:fill="FFFFFF" w:val="clear"/>
        </w:rPr>
        <w:t xml:space="preserve">-Q in which these financial statements are included. The Company continues to remain dependent, in part, on its ability to obtain sufficient funding to sustain operations and continue to successfully commercialize neratinib in the United States. On </w:t>
      </w:r>
      <w:r>
        <w:rPr>
          <w:rStyle w:val="Emphasis"/>
          <w:rFonts w:ascii="Times New Roman" w:hAnsi="Times New Roman"/>
          <w:caps w:val="false"/>
          <w:smallCaps w:val="false"/>
          <w:sz w:val="20"/>
          <w:shd w:fill="FFFFFF" w:val="clear"/>
        </w:rPr>
        <w:t>May 4, 2026,</w:t>
      </w:r>
      <w:r>
        <w:rPr>
          <w:rFonts w:ascii="Times New Roman" w:hAnsi="Times New Roman"/>
          <w:caps w:val="false"/>
          <w:smallCaps w:val="false"/>
          <w:sz w:val="20"/>
          <w:shd w:fill="FFFFFF" w:val="clear"/>
        </w:rPr>
        <w:t xml:space="preserve"> the Company paid $11.5 million to Athyrium Opportunities IV Co-Invest </w:t>
      </w:r>
      <w:r>
        <w:rPr>
          <w:rStyle w:val="Emphasis"/>
          <w:rFonts w:ascii="Times New Roman" w:hAnsi="Times New Roman"/>
          <w:caps w:val="false"/>
          <w:smallCaps w:val="false"/>
          <w:sz w:val="20"/>
          <w:shd w:fill="FFFFFF" w:val="clear"/>
        </w:rPr>
        <w:t>1</w:t>
      </w:r>
      <w:r>
        <w:rPr>
          <w:rFonts w:ascii="Times New Roman" w:hAnsi="Times New Roman"/>
          <w:caps w:val="false"/>
          <w:smallCaps w:val="false"/>
          <w:sz w:val="20"/>
          <w:shd w:fill="FFFFFF" w:val="clear"/>
        </w:rPr>
        <w:t xml:space="preserve"> LP ("Athyrium"), consisting of principal, interest and exit fees due under the </w:t>
      </w:r>
      <w:r>
        <w:rPr>
          <w:rStyle w:val="Emphasis"/>
          <w:rFonts w:ascii="Times New Roman" w:hAnsi="Times New Roman"/>
          <w:caps w:val="false"/>
          <w:smallCaps w:val="false"/>
          <w:sz w:val="20"/>
          <w:shd w:fill="FFFFFF" w:val="clear"/>
        </w:rPr>
        <w:t>2021</w:t>
      </w:r>
      <w:r>
        <w:rPr>
          <w:rFonts w:ascii="Times New Roman" w:hAnsi="Times New Roman"/>
          <w:caps w:val="false"/>
          <w:smallCaps w:val="false"/>
          <w:sz w:val="20"/>
          <w:shd w:fill="FFFFFF" w:val="clear"/>
        </w:rPr>
        <w:t xml:space="preserve"> Note Purchase Agreement. This payment was made ahead of the maturity date of </w:t>
      </w:r>
      <w:r>
        <w:rPr>
          <w:rStyle w:val="Emphasis"/>
          <w:rFonts w:ascii="Times New Roman" w:hAnsi="Times New Roman"/>
          <w:caps w:val="false"/>
          <w:smallCaps w:val="false"/>
          <w:sz w:val="20"/>
          <w:shd w:fill="FFFFFF" w:val="clear"/>
        </w:rPr>
        <w:t xml:space="preserve">July 23, 2026, </w:t>
      </w:r>
      <w:r>
        <w:rPr>
          <w:rFonts w:ascii="Times New Roman" w:hAnsi="Times New Roman"/>
          <w:caps w:val="false"/>
          <w:smallCaps w:val="false"/>
          <w:sz w:val="20"/>
          <w:shd w:fill="FFFFFF" w:val="clear"/>
        </w:rPr>
        <w:t xml:space="preserve">reduced the principal balance outstanding under the Athyrium Notes to zero and terminated all remaining obligations of the Company under the </w:t>
      </w:r>
      <w:r>
        <w:rPr>
          <w:rStyle w:val="Emphasis"/>
          <w:rFonts w:ascii="Times New Roman" w:hAnsi="Times New Roman"/>
          <w:caps w:val="false"/>
          <w:smallCaps w:val="false"/>
          <w:sz w:val="20"/>
          <w:shd w:fill="FFFFFF" w:val="clear"/>
        </w:rPr>
        <w:t>2021</w:t>
      </w:r>
      <w:r>
        <w:rPr>
          <w:rFonts w:ascii="Times New Roman" w:hAnsi="Times New Roman"/>
          <w:caps w:val="false"/>
          <w:smallCaps w:val="false"/>
          <w:sz w:val="20"/>
          <w:shd w:fill="FFFFFF" w:val="clear"/>
        </w:rPr>
        <w:t xml:space="preserve"> Note Purchase Agreement, other than customary continuing indemnification obligations. While the Company has been successful in raising capital in the past, there can be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assurance that it will be able to do so in the future. The Company’s ability to obtain funding </w:t>
      </w:r>
      <w:r>
        <w:rPr>
          <w:rStyle w:val="Emphasis"/>
          <w:rFonts w:ascii="Times New Roman" w:hAnsi="Times New Roman"/>
          <w:caps w:val="false"/>
          <w:smallCaps w:val="false"/>
          <w:sz w:val="20"/>
          <w:shd w:fill="FFFFFF" w:val="clear"/>
        </w:rPr>
        <w:t xml:space="preserve"> may </w:t>
      </w:r>
      <w:r>
        <w:rPr>
          <w:rFonts w:ascii="Times New Roman" w:hAnsi="Times New Roman"/>
          <w:caps w:val="false"/>
          <w:smallCaps w:val="false"/>
          <w:sz w:val="20"/>
          <w:shd w:fill="FFFFFF" w:val="clear"/>
        </w:rPr>
        <w:t>be adversely impacted by uncertain market and economic conditions, including the Company’s success in commercializing neratinib and unfavorable decisions of regulatory authorities or adverse clinical trial results. The outcome of these matters cannot be predicted at this time. </w:t>
      </w:r>
      <w:r>
        <w:rPr>
          <w:rFonts w:ascii="Times New Roman" w:hAnsi="Times New Roman"/>
          <w:caps w:val="false"/>
          <w:smallCaps w:val="false"/>
          <w:sz w:val="20"/>
        </w:rPr>
        <w:t xml:space="preserve"> </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Since its inception through </w:t>
      </w:r>
      <w:r>
        <w:rPr>
          <w:rStyle w:val="Emphasis"/>
          <w:rFonts w:ascii="Times New Roman" w:hAnsi="Times New Roman"/>
          <w:caps w:val="false"/>
          <w:smallCaps w:val="false"/>
          <w:sz w:val="20"/>
          <w:shd w:fill="FFFFFF" w:val="clear"/>
        </w:rPr>
        <w:t xml:space="preserve"> June 30, 2026</w:t>
      </w:r>
      <w:r>
        <w:rPr>
          <w:rFonts w:ascii="Times New Roman" w:hAnsi="Times New Roman"/>
          <w:caps w:val="false"/>
          <w:smallCaps w:val="false"/>
          <w:sz w:val="20"/>
          <w:shd w:fill="FFFFFF" w:val="clear"/>
        </w:rPr>
        <w:t>, the Company’s financing has consisted primarily of proceeds from product, royalty and license revenue, public offerings of its common stock, private equity placements, and various debt instruments.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In the opinion of management, the included disclosures are adequate, and the accompanying unaudited condensed consolidated financial statements contain all adjustments necessary for a fair statement of its consolidated financial position as of </w:t>
      </w:r>
      <w:r>
        <w:rPr>
          <w:rStyle w:val="Emphasis"/>
          <w:rFonts w:ascii="Times New Roman" w:hAnsi="Times New Roman"/>
          <w:caps w:val="false"/>
          <w:smallCaps w:val="false"/>
          <w:sz w:val="20"/>
          <w:shd w:fill="FFFFFF" w:val="clear"/>
        </w:rPr>
        <w:t xml:space="preserve"> June 30, 2026</w:t>
      </w:r>
      <w:r>
        <w:rPr>
          <w:rFonts w:ascii="Times New Roman" w:hAnsi="Times New Roman"/>
          <w:caps w:val="false"/>
          <w:smallCaps w:val="false"/>
          <w:sz w:val="20"/>
          <w:shd w:fill="FFFFFF" w:val="clear"/>
        </w:rPr>
        <w:t>. Such adjustments are of a normal and recurring nature. The condensed consolidated balance sheet as of </w:t>
      </w:r>
      <w:r>
        <w:rPr>
          <w:rStyle w:val="Emphasis"/>
          <w:rFonts w:ascii="Times New Roman" w:hAnsi="Times New Roman"/>
          <w:caps w:val="false"/>
          <w:smallCaps w:val="false"/>
          <w:sz w:val="20"/>
          <w:shd w:fill="FFFFFF" w:val="clear"/>
        </w:rPr>
        <w:t xml:space="preserve"> December 31, 2025</w:t>
      </w:r>
      <w:r>
        <w:rPr>
          <w:rFonts w:ascii="Times New Roman" w:hAnsi="Times New Roman"/>
          <w:caps w:val="false"/>
          <w:smallCaps w:val="false"/>
          <w:sz w:val="20"/>
          <w:shd w:fill="FFFFFF" w:val="clear"/>
        </w:rPr>
        <w:t xml:space="preserve"> was derived from audited annual financial statements but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contain all of the footnote disclosures from the audited annual financial statements. The condensed consolidated results of operations for the quarter ended </w:t>
      </w:r>
      <w:r>
        <w:rPr>
          <w:rStyle w:val="Emphasis"/>
          <w:rFonts w:ascii="Times New Roman" w:hAnsi="Times New Roman"/>
          <w:caps w:val="false"/>
          <w:smallCaps w:val="false"/>
          <w:sz w:val="20"/>
          <w:shd w:fill="FFFFFF" w:val="clear"/>
        </w:rPr>
        <w:t xml:space="preserve"> June 30, 2026</w:t>
      </w:r>
      <w:r>
        <w:rPr>
          <w:rFonts w:ascii="Times New Roman" w:hAnsi="Times New Roman"/>
          <w:caps w:val="false"/>
          <w:smallCaps w:val="false"/>
          <w:sz w:val="20"/>
          <w:shd w:fill="FFFFFF" w:val="clear"/>
        </w:rPr>
        <w:t xml:space="preserve">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necessarily indicative of the consolidated results of operations that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be expected for the fiscal year ending </w:t>
      </w:r>
      <w:r>
        <w:rPr>
          <w:rStyle w:val="Emphasis"/>
          <w:rFonts w:ascii="Times New Roman" w:hAnsi="Times New Roman"/>
          <w:caps w:val="false"/>
          <w:smallCaps w:val="false"/>
          <w:sz w:val="20"/>
          <w:shd w:fill="FFFFFF" w:val="clear"/>
        </w:rPr>
        <w:t xml:space="preserve"> December 31, 2026</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The Company does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believe that tariffs imposed or proposed to be imposed by the United States, particularly with the EU and China, will have a material impact on its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April 2, 2026, </w:t>
      </w:r>
      <w:r>
        <w:rPr>
          <w:rFonts w:ascii="Times New Roman" w:hAnsi="Times New Roman"/>
          <w:caps w:val="false"/>
          <w:smallCaps w:val="false"/>
          <w:sz w:val="20"/>
          <w:shd w:fill="FFFFFF" w:val="clear"/>
        </w:rPr>
        <w:t xml:space="preserve">the U.S. government issued a proclamation under Section </w:t>
      </w:r>
      <w:r>
        <w:rPr>
          <w:rStyle w:val="Emphasis"/>
          <w:rFonts w:ascii="Times New Roman" w:hAnsi="Times New Roman"/>
          <w:caps w:val="false"/>
          <w:smallCaps w:val="false"/>
          <w:sz w:val="20"/>
          <w:shd w:fill="FFFFFF" w:val="clear"/>
        </w:rPr>
        <w:t>232</w:t>
      </w:r>
      <w:r>
        <w:rPr>
          <w:rFonts w:ascii="Times New Roman" w:hAnsi="Times New Roman"/>
          <w:caps w:val="false"/>
          <w:smallCaps w:val="false"/>
          <w:sz w:val="20"/>
          <w:shd w:fill="FFFFFF" w:val="clear"/>
        </w:rPr>
        <w:t xml:space="preserve"> of the Trade Expansion Act of </w:t>
      </w:r>
      <w:r>
        <w:rPr>
          <w:rStyle w:val="Emphasis"/>
          <w:rFonts w:ascii="Times New Roman" w:hAnsi="Times New Roman"/>
          <w:caps w:val="false"/>
          <w:smallCaps w:val="false"/>
          <w:sz w:val="20"/>
          <w:shd w:fill="FFFFFF" w:val="clear"/>
        </w:rPr>
        <w:t>1962,</w:t>
      </w:r>
      <w:r>
        <w:rPr>
          <w:rFonts w:ascii="Times New Roman" w:hAnsi="Times New Roman"/>
          <w:caps w:val="false"/>
          <w:smallCaps w:val="false"/>
          <w:sz w:val="20"/>
          <w:shd w:fill="FFFFFF" w:val="clear"/>
        </w:rPr>
        <w:t xml:space="preserve"> imposing a </w:t>
      </w:r>
      <w:r>
        <w:rPr>
          <w:rStyle w:val="Emphasis"/>
          <w:rFonts w:ascii="Times New Roman" w:hAnsi="Times New Roman"/>
          <w:caps w:val="false"/>
          <w:smallCaps w:val="false"/>
          <w:sz w:val="20"/>
          <w:shd w:fill="FFFFFF" w:val="clear"/>
        </w:rPr>
        <w:t>100%</w:t>
      </w:r>
      <w:r>
        <w:rPr>
          <w:rFonts w:ascii="Times New Roman" w:hAnsi="Times New Roman"/>
          <w:caps w:val="false"/>
          <w:smallCaps w:val="false"/>
          <w:sz w:val="20"/>
          <w:shd w:fill="FFFFFF" w:val="clear"/>
        </w:rPr>
        <w:t xml:space="preserve"> ad valorem duty, subject to specified exclusions, on the import of patented pharmaceutical products listed in the FDA’s Orange Book or Purple Book, as well as their associated active pharmaceutical ingredients (“APIs”). A reduced </w:t>
      </w:r>
      <w:r>
        <w:rPr>
          <w:rStyle w:val="Emphasis"/>
          <w:rFonts w:ascii="Times New Roman" w:hAnsi="Times New Roman"/>
          <w:caps w:val="false"/>
          <w:smallCaps w:val="false"/>
          <w:sz w:val="20"/>
          <w:shd w:fill="FFFFFF" w:val="clear"/>
        </w:rPr>
        <w:t>20%</w:t>
      </w:r>
      <w:r>
        <w:rPr>
          <w:rFonts w:ascii="Times New Roman" w:hAnsi="Times New Roman"/>
          <w:caps w:val="false"/>
          <w:smallCaps w:val="false"/>
          <w:sz w:val="20"/>
          <w:shd w:fill="FFFFFF" w:val="clear"/>
        </w:rPr>
        <w:t xml:space="preserve"> rate is available to companies with onshoring plans approved by the U.S. Secretary of Commerce, although this reduced rate is scheduled to increase to </w:t>
      </w:r>
      <w:r>
        <w:rPr>
          <w:rStyle w:val="Emphasis"/>
          <w:rFonts w:ascii="Times New Roman" w:hAnsi="Times New Roman"/>
          <w:caps w:val="false"/>
          <w:smallCaps w:val="false"/>
          <w:sz w:val="20"/>
          <w:shd w:fill="FFFFFF" w:val="clear"/>
        </w:rPr>
        <w:t>100%</w:t>
      </w:r>
      <w:r>
        <w:rPr>
          <w:rFonts w:ascii="Times New Roman" w:hAnsi="Times New Roman"/>
          <w:caps w:val="false"/>
          <w:smallCaps w:val="false"/>
          <w:sz w:val="20"/>
          <w:shd w:fill="FFFFFF" w:val="clear"/>
        </w:rPr>
        <w:t xml:space="preserve"> over a </w:t>
      </w:r>
      <w:r>
        <w:rPr>
          <w:rStyle w:val="Emphasis"/>
          <w:rFonts w:ascii="Times New Roman" w:hAnsi="Times New Roman"/>
          <w:caps w:val="false"/>
          <w:smallCaps w:val="false"/>
          <w:sz w:val="20"/>
          <w:shd w:fill="FFFFFF" w:val="clear"/>
        </w:rPr>
        <w:t>four</w:t>
      </w:r>
      <w:r>
        <w:rPr>
          <w:rFonts w:ascii="Times New Roman" w:hAnsi="Times New Roman"/>
          <w:caps w:val="false"/>
          <w:smallCaps w:val="false"/>
          <w:sz w:val="20"/>
          <w:shd w:fill="FFFFFF" w:val="clear"/>
        </w:rPr>
        <w:t xml:space="preserve">-year period. These tariffs become effective on </w:t>
      </w:r>
      <w:r>
        <w:rPr>
          <w:rStyle w:val="Emphasis"/>
          <w:rFonts w:ascii="Times New Roman" w:hAnsi="Times New Roman"/>
          <w:caps w:val="false"/>
          <w:smallCaps w:val="false"/>
          <w:sz w:val="20"/>
          <w:shd w:fill="FFFFFF" w:val="clear"/>
        </w:rPr>
        <w:t xml:space="preserve">July 31, 2026 </w:t>
      </w:r>
      <w:r>
        <w:rPr>
          <w:rFonts w:ascii="Times New Roman" w:hAnsi="Times New Roman"/>
          <w:caps w:val="false"/>
          <w:smallCaps w:val="false"/>
          <w:sz w:val="20"/>
          <w:shd w:fill="FFFFFF" w:val="clear"/>
        </w:rPr>
        <w:t xml:space="preserve">for certain large companies and will become effective on </w:t>
      </w:r>
      <w:r>
        <w:rPr>
          <w:rStyle w:val="Emphasis"/>
          <w:rFonts w:ascii="Times New Roman" w:hAnsi="Times New Roman"/>
          <w:caps w:val="false"/>
          <w:smallCaps w:val="false"/>
          <w:sz w:val="20"/>
          <w:shd w:fill="FFFFFF" w:val="clear"/>
        </w:rPr>
        <w:t xml:space="preserve">September 29, 2026 </w:t>
      </w:r>
      <w:r>
        <w:rPr>
          <w:rFonts w:ascii="Times New Roman" w:hAnsi="Times New Roman"/>
          <w:caps w:val="false"/>
          <w:smallCaps w:val="false"/>
          <w:sz w:val="20"/>
          <w:shd w:fill="FFFFFF" w:val="clear"/>
        </w:rPr>
        <w:t>for all other companies. The potential impact of the proclamation on the Company, including any indirect effect, remains uncertain and under review.</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caps w:val="false"/>
          <w:smallCaps w:val="false"/>
          <w:sz w:val="20"/>
        </w:rPr>
        <w:t>—</w:t>
      </w:r>
      <w:r>
        <w:rPr>
          <w:rFonts w:ascii="Times New Roman" w:hAnsi="Times New Roman"/>
          <w:b/>
          <w:caps w:val="false"/>
          <w:smallCaps w:val="false"/>
          <w:sz w:val="20"/>
        </w:rPr>
        <w:t>Significant Accounting Policies: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significant accounting policies followed in the preparation of these unaudited consolidated financial statements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Principles of Consolidation: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include the accounts of the Company and its wholly owned subsidiary. All intercompany balances and transactions have been eliminated in consolidation.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Segment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Management has determined that the Company operates in one reporting segment, which is the development and commercialization of innovative products to enhance cancer care. The Company derives its global product, license, and royalty revenue through the sales of NERLYNX®. The majority of the Company's roya</w:t>
      </w:r>
      <w:r>
        <w:rPr>
          <w:rFonts w:ascii="Times New Roman" w:hAnsi="Times New Roman"/>
          <w:caps w:val="false"/>
          <w:smallCaps w:val="false"/>
          <w:sz w:val="20"/>
          <w:shd w:fill="FFFFFF" w:val="clear"/>
        </w:rPr>
        <w:t>lty revenue is derived from its sub-licensee sales into China. </w:t>
      </w:r>
      <w:r>
        <w:rPr>
          <w:rFonts w:ascii="Times New Roman" w:hAnsi="Times New Roman"/>
          <w:caps w:val="false"/>
          <w:smallCaps w:val="false"/>
          <w:sz w:val="20"/>
        </w:rPr>
        <w:t xml:space="preserve">The accounting policies of this operating segment are the same as those described below in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its President, Chief Executive Officer and Chairman of the Board, Alan H. Auerbach. The CODM primarily uses the Company's Consolidated Statement of Operations and related revenues, expenses, and net income in evaluating the performance of the single operating segment and determining how to allocate resources of the Company as a whole, including its sales force and related marketing, research and development programs, including alisertib, and licensing strategy. Consolidated revenue, expenses and net income are also used to monitor budget versus actual results.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In addition to the significant expense categories included within consolidated n</w:t>
      </w:r>
      <w:r>
        <w:rPr>
          <w:rFonts w:ascii="Times New Roman" w:hAnsi="Times New Roman"/>
          <w:caps w:val="false"/>
          <w:smallCaps w:val="false"/>
          <w:sz w:val="20"/>
        </w:rPr>
        <w:t>et income presented on the Company's Condensed Consolidated Statements of Operations, see below for disaggregated amounts that comprise operating expenses:</w:t>
      </w:r>
    </w:p>
    <w:p>
      <w:pPr>
        <w:pStyle w:val="TextBody"/>
        <w:bidi w:val="0"/>
        <w:spacing w:before="0" w:after="0"/>
        <w:ind w:left="0" w:right="0" w:hanging="0"/>
        <w:jc w:val="left"/>
        <w:rPr>
          <w:caps w:val="false"/>
          <w:smallCaps w:val="false"/>
        </w:rPr>
      </w:pPr>
      <w:r>
        <w:rPr>
          <w:caps w:val="false"/>
          <w:smallCaps w:val="false"/>
        </w:rPr>
        <w:t> </w:t>
      </w:r>
    </w:p>
    <w:tbl>
      <w:tblPr>
        <w:tblW w:w="9247" w:type="dxa"/>
        <w:jc w:val="left"/>
        <w:tblInd w:w="0" w:type="dxa"/>
        <w:tblLayout w:type="fixed"/>
        <w:tblCellMar>
          <w:top w:w="0" w:type="dxa"/>
          <w:left w:w="0" w:type="dxa"/>
          <w:bottom w:w="0" w:type="dxa"/>
          <w:right w:w="0" w:type="dxa"/>
        </w:tblCellMar>
      </w:tblPr>
      <w:tblGrid>
        <w:gridCol w:w="2885"/>
        <w:gridCol w:w="60"/>
        <w:gridCol w:w="255"/>
        <w:gridCol w:w="1206"/>
        <w:gridCol w:w="122"/>
        <w:gridCol w:w="122"/>
        <w:gridCol w:w="255"/>
        <w:gridCol w:w="1206"/>
        <w:gridCol w:w="60"/>
        <w:gridCol w:w="60"/>
        <w:gridCol w:w="238"/>
        <w:gridCol w:w="1126"/>
        <w:gridCol w:w="114"/>
        <w:gridCol w:w="114"/>
        <w:gridCol w:w="238"/>
        <w:gridCol w:w="1126"/>
        <w:gridCol w:w="60"/>
      </w:tblGrid>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5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14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14"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13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sales</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12,475</w:t>
            </w:r>
          </w:p>
        </w:tc>
        <w:tc>
          <w:tcPr>
            <w:tcW w:w="122"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22,899</w:t>
            </w:r>
          </w:p>
        </w:tc>
        <w:tc>
          <w:tcPr>
            <w:tcW w:w="11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22,857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5,087</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11,488</w:t>
            </w:r>
          </w:p>
        </w:tc>
        <w:tc>
          <w:tcPr>
            <w:tcW w:w="114"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12,718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Commercialization</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11,280</w:t>
            </w:r>
          </w:p>
        </w:tc>
        <w:tc>
          <w:tcPr>
            <w:tcW w:w="122"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22,163</w:t>
            </w:r>
          </w:p>
        </w:tc>
        <w:tc>
          <w:tcPr>
            <w:tcW w:w="11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20,707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Clinical research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10,664</w:t>
            </w:r>
          </w:p>
        </w:tc>
        <w:tc>
          <w:tcPr>
            <w:tcW w:w="122"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 </w:t>
            </w:r>
          </w:p>
        </w:tc>
        <w:tc>
          <w:tcPr>
            <w:tcW w:w="12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22,108</w:t>
            </w:r>
          </w:p>
        </w:tc>
        <w:tc>
          <w:tcPr>
            <w:tcW w:w="11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14,093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Medical affairs</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1,141</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2,480</w:t>
            </w:r>
          </w:p>
        </w:tc>
        <w:tc>
          <w:tcPr>
            <w:tcW w:w="114"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Other research and development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6,317</w:t>
            </w:r>
          </w:p>
        </w:tc>
        <w:tc>
          <w:tcPr>
            <w:tcW w:w="122"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12,572</w:t>
            </w:r>
          </w:p>
        </w:tc>
        <w:tc>
          <w:tcPr>
            <w:tcW w:w="11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11,012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costs and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46,964</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55" w:type="dxa"/>
            <w:tcBorders/>
            <w:shd w:fill="FFFFFF" w:val="clear"/>
            <w:vAlign w:val="center"/>
          </w:tcPr>
          <w:p>
            <w:pPr>
              <w:pStyle w:val="TableContents"/>
              <w:bidi w:val="0"/>
              <w:spacing w:before="0" w:after="0"/>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44,172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93,710</w:t>
            </w:r>
          </w:p>
        </w:tc>
        <w:tc>
          <w:tcPr>
            <w:tcW w:w="114"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8" w:type="dxa"/>
            <w:tcBorders/>
            <w:shd w:fill="FFFFFF" w:val="clear"/>
            <w:vAlign w:val="center"/>
          </w:tcPr>
          <w:p>
            <w:pPr>
              <w:pStyle w:val="TableContents"/>
              <w:bidi w:val="0"/>
              <w:spacing w:before="0" w:after="0"/>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84,170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1,953</w:t>
            </w:r>
          </w:p>
        </w:tc>
        <w:tc>
          <w:tcPr>
            <w:tcW w:w="122" w:type="dxa"/>
            <w:tcBorders/>
            <w:shd w:fill="CCEEFF" w:val="clear"/>
            <w:vAlign w:val="center"/>
          </w:tcPr>
          <w:p>
            <w:pPr>
              <w:pStyle w:val="TableContents"/>
              <w:bidi w:val="0"/>
              <w:spacing w:before="0" w:after="0"/>
              <w:ind w:left="0" w:right="0" w:hanging="0"/>
              <w:jc w:val="left"/>
              <w:rPr/>
            </w:pPr>
            <w:r>
              <w:rPr/>
              <w:t> </w:t>
            </w:r>
          </w:p>
        </w:tc>
        <w:tc>
          <w:tcPr>
            <w:tcW w:w="122" w:type="dxa"/>
            <w:tcBorders/>
            <w:shd w:fill="CCEEFF" w:val="cle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3,849</w:t>
            </w:r>
          </w:p>
        </w:tc>
        <w:tc>
          <w:tcPr>
            <w:tcW w:w="114"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operating costs and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48,917</w:t>
            </w:r>
          </w:p>
        </w:tc>
        <w:tc>
          <w:tcPr>
            <w:tcW w:w="122" w:type="dxa"/>
            <w:tcBorders/>
            <w:shd w:fill="FFFFFF" w:val="clear"/>
            <w:vAlign w:val="center"/>
          </w:tcPr>
          <w:p>
            <w:pPr>
              <w:pStyle w:val="TableContents"/>
              <w:bidi w:val="0"/>
              <w:spacing w:before="0" w:after="0"/>
              <w:ind w:left="0" w:right="0" w:hanging="0"/>
              <w:jc w:val="left"/>
              <w:rPr/>
            </w:pPr>
            <w:r>
              <w:rPr/>
              <w:t> </w:t>
            </w:r>
          </w:p>
        </w:tc>
        <w:tc>
          <w:tcPr>
            <w:tcW w:w="122" w:type="dxa"/>
            <w:tcBorders/>
            <w:shd w:fill="FFFFFF" w:val="clear"/>
            <w:vAlign w:val="center"/>
          </w:tcPr>
          <w:p>
            <w:pPr>
              <w:pStyle w:val="TableContents"/>
              <w:bidi w:val="0"/>
              <w:spacing w:before="0" w:after="0"/>
              <w:ind w:left="0" w:right="0" w:hanging="0"/>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45,800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97,559</w:t>
            </w:r>
          </w:p>
        </w:tc>
        <w:tc>
          <w:tcPr>
            <w:tcW w:w="114"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2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87,823</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54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Other research and development expense includes regulatory affairs, pharmacovigilance, quality assurance, chemical manufacturing,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Use of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preparation of consolidated financial statements in conformity with Generally Accepted Accounting Principles (“GAAP”) in the United States, requires management to make estimates and assumptions that affect reported amounts of assets and liabilities, and disclosure of contingent assets and liabilities at the date of the balance sheet, and reported amounts of revenues and expenses for the period presented. Accordingly,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Significant estimates include estimates for variable consideration for which reserves were established. These estimates are included in the calculation of net revenues and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w:t>
      </w:r>
      <w:r>
        <w:rPr>
          <w:rFonts w:ascii="Times New Roman" w:hAnsi="Times New Roman"/>
          <w:caps w:val="false"/>
          <w:smallCaps w:val="false"/>
          <w:sz w:val="20"/>
          <w:shd w:fill="FFFFFF" w:val="clear"/>
        </w:rPr>
        <w:t>cts. Other significant estimates include those related to the valuation of deferred income taxes, legal and other expense accruals.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Net In</w:t>
      </w:r>
      <w:r>
        <w:rPr>
          <w:rFonts w:ascii="Times New Roman" w:hAnsi="Times New Roman"/>
          <w:b/>
          <w:caps w:val="false"/>
          <w:smallCaps w:val="false"/>
          <w:sz w:val="20"/>
          <w:shd w:fill="FFFFFF" w:val="clear"/>
        </w:rPr>
        <w:t>come per S</w:t>
      </w:r>
      <w:r>
        <w:rPr>
          <w:rFonts w:ascii="Times New Roman" w:hAnsi="Times New Roman"/>
          <w:b/>
          <w:caps w:val="false"/>
          <w:smallCaps w:val="false"/>
          <w:sz w:val="20"/>
        </w:rPr>
        <w:t>hare of 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Basic net income per share of common stock is computed by dividing net income available to common stockholders by the weighted-average number of shares of common stock outstanding during the periods presented, as required by Accounting Standards Codification (“ASC”), ASC </w:t>
      </w:r>
      <w:r>
        <w:rPr>
          <w:rStyle w:val="Emphasis"/>
          <w:rFonts w:ascii="Times New Roman" w:hAnsi="Times New Roman"/>
          <w:caps w:val="false"/>
          <w:smallCaps w:val="false"/>
          <w:sz w:val="20"/>
        </w:rPr>
        <w:t>260,</w:t>
      </w:r>
      <w:r>
        <w:rPr>
          <w:rFonts w:ascii="Times New Roman" w:hAnsi="Times New Roman"/>
          <w:caps w:val="false"/>
          <w:smallCaps w:val="false"/>
          <w:sz w:val="20"/>
        </w:rPr>
        <w:t xml:space="preserve"> </w:t>
      </w:r>
      <w:r>
        <w:rPr>
          <w:rFonts w:ascii="Times New Roman" w:hAnsi="Times New Roman"/>
          <w:i/>
          <w:caps w:val="false"/>
          <w:smallCaps w:val="false"/>
          <w:sz w:val="20"/>
        </w:rPr>
        <w:t>Earnings per Share</w:t>
      </w:r>
      <w:r>
        <w:rPr>
          <w:rFonts w:ascii="Times New Roman" w:hAnsi="Times New Roman"/>
          <w:caps w:val="false"/>
          <w:smallCaps w:val="false"/>
          <w:sz w:val="20"/>
        </w:rPr>
        <w:t xml:space="preserve">. For purposes of calculating diluted net income per share of common stock, the denominator includes both the weighted-average number of shares of common stock outstanding and the number of dilutive common stock equivalents, such as stock options, restricted stock units (“RSUs”), and warrants. A common stock equivalent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denominator when calculating diluted earnings per common share if the effect of such common stock equivalent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potentially dilutive securities include potential common shares related to its stock options and RSUs granted in connection with the Puma Biotechnology, Inc.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Incentive Award Plan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the Puma Biotechnology, Inc.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Employment Inducement Incentive Award Plan (</w:t>
      </w:r>
      <w:r>
        <w:rPr>
          <w:rStyle w:val="Emphasis"/>
          <w:rFonts w:ascii="Times New Roman" w:hAnsi="Times New Roman"/>
          <w:caps w:val="false"/>
          <w:smallCaps w:val="false"/>
          <w:sz w:val="20"/>
        </w:rPr>
        <w:t>“2017</w:t>
      </w:r>
      <w:r>
        <w:rPr>
          <w:rFonts w:ascii="Times New Roman" w:hAnsi="Times New Roman"/>
          <w:caps w:val="false"/>
          <w:smallCaps w:val="false"/>
          <w:sz w:val="20"/>
        </w:rPr>
        <w:t> Plan”). Diluted earnings per share (“Diluted EPS”) considers the impact of potentially dilutive securities except in periods in which there is a loss because the inclusion of the potential common shares would have an anti-dilutive effect. Diluted EPS excludes the impact of potential common shares related to the Company's stock options in periods in which the option exercise price is greater than the average market price of its common stock for the period. The following potentially dilutive outstanding common stock equivalents for the respective periods were excluded from diluted net income per share because of their anti-dilutive effect:</w:t>
      </w:r>
    </w:p>
    <w:p>
      <w:pPr>
        <w:pStyle w:val="TextBody"/>
        <w:bidi w:val="0"/>
        <w:spacing w:before="0" w:after="0"/>
        <w:ind w:left="0" w:right="0" w:hanging="0"/>
        <w:jc w:val="left"/>
        <w:rPr/>
      </w:pPr>
      <w:r>
        <w:rPr/>
        <w:t> </w:t>
      </w:r>
    </w:p>
    <w:tbl>
      <w:tblPr>
        <w:tblW w:w="7374" w:type="dxa"/>
        <w:jc w:val="left"/>
        <w:tblInd w:w="0" w:type="dxa"/>
        <w:tblLayout w:type="fixed"/>
        <w:tblCellMar>
          <w:top w:w="0" w:type="dxa"/>
          <w:left w:w="0" w:type="dxa"/>
          <w:bottom w:w="0" w:type="dxa"/>
          <w:right w:w="0" w:type="dxa"/>
        </w:tblCellMar>
      </w:tblPr>
      <w:tblGrid>
        <w:gridCol w:w="2510"/>
        <w:gridCol w:w="60"/>
        <w:gridCol w:w="75"/>
        <w:gridCol w:w="1059"/>
        <w:gridCol w:w="75"/>
        <w:gridCol w:w="75"/>
        <w:gridCol w:w="75"/>
        <w:gridCol w:w="1059"/>
        <w:gridCol w:w="60"/>
        <w:gridCol w:w="60"/>
        <w:gridCol w:w="68"/>
        <w:gridCol w:w="967"/>
        <w:gridCol w:w="68"/>
        <w:gridCol w:w="68"/>
        <w:gridCol w:w="68"/>
        <w:gridCol w:w="967"/>
        <w:gridCol w:w="60"/>
      </w:tblGrid>
      <w:tr>
        <w:trPr/>
        <w:tc>
          <w:tcPr>
            <w:tcW w:w="2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0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Options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0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1,886,584</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10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3,865,148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1,817,407</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3,993,693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Warrant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0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2,116,250</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10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2,116,250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2,116,250</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2,116,250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1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Unvested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c>
          <w:tcPr>
            <w:tcW w:w="7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525,067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18,816</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519,545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1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0"/>
              <w:ind w:left="0" w:right="0" w:hanging="0"/>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4,002,834</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c>
          <w:tcPr>
            <w:tcW w:w="7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6,506,465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3,952,473</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6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6,629,488</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2,116,250 shares underlying the warrant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impact on the Company's diluted net income per share until the average market price of its common stock exceeds the exercise price of $16 per share. The warrant will expire on </w:t>
      </w:r>
      <w:r>
        <w:rPr>
          <w:rStyle w:val="Emphasis"/>
          <w:rFonts w:ascii="Times New Roman" w:hAnsi="Times New Roman"/>
          <w:caps w:val="false"/>
          <w:smallCaps w:val="false"/>
          <w:sz w:val="20"/>
        </w:rPr>
        <w:t>October 4, 2026. (</w:t>
      </w: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10—Stockholders’</w:t>
      </w:r>
      <w:r>
        <w:rPr>
          <w:rFonts w:ascii="Times New Roman" w:hAnsi="Times New Roman"/>
          <w:caps w:val="false"/>
          <w:smallCaps w:val="false"/>
          <w:sz w:val="20"/>
        </w:rPr>
        <w:t>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 reconciliation of the numerators and denominators of the basic and diluted net income per share of common stock computations is as follows (in thousands, except share and per share amounts):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2"/>
        <w:gridCol w:w="60"/>
        <w:gridCol w:w="156"/>
        <w:gridCol w:w="1188"/>
        <w:gridCol w:w="74"/>
        <w:gridCol w:w="74"/>
        <w:gridCol w:w="156"/>
        <w:gridCol w:w="1188"/>
        <w:gridCol w:w="60"/>
        <w:gridCol w:w="60"/>
        <w:gridCol w:w="148"/>
        <w:gridCol w:w="1132"/>
        <w:gridCol w:w="71"/>
        <w:gridCol w:w="71"/>
        <w:gridCol w:w="148"/>
        <w:gridCol w:w="1132"/>
        <w:gridCol w:w="65"/>
      </w:tblGrid>
      <w:tr>
        <w:trPr/>
        <w:tc>
          <w:tcPr>
            <w:tcW w:w="442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 June 30,</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442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3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44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44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8,189</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4,436</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8,829</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44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44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stock outstanding for basic net income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50,939,946</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11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49,700,217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50,892,800</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49,648,246</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442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effect of dilutive common stock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1,656,643</w:t>
            </w:r>
          </w:p>
        </w:tc>
        <w:tc>
          <w:tcPr>
            <w:tcW w:w="74"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444,487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1,386,125</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355,463</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44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common stock outstanding for diluted net income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52,596,589</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50,144,704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52,278,925</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50,003,709</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44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 per share of common stock</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118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132"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r>
      <w:tr>
        <w:trPr/>
        <w:tc>
          <w:tcPr>
            <w:tcW w:w="44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p>
        </w:tc>
        <w:tc>
          <w:tcPr>
            <w:tcW w:w="74" w:type="dxa"/>
            <w:tcBorders/>
            <w:shd w:fill="FFFFFF" w:val="clear"/>
            <w:vAlign w:val="center"/>
          </w:tcPr>
          <w:p>
            <w:pPr>
              <w:pStyle w:val="TableContents"/>
              <w:bidi w:val="0"/>
              <w:spacing w:before="0" w:after="0"/>
              <w:ind w:left="0" w:right="0" w:hanging="0"/>
              <w:jc w:val="left"/>
              <w:rPr/>
            </w:pPr>
            <w:r>
              <w:rPr/>
              <w:t> </w:t>
            </w:r>
          </w:p>
        </w:tc>
        <w:tc>
          <w:tcPr>
            <w:tcW w:w="74"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0.09</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65" w:type="dxa"/>
            <w:tcBorders/>
            <w:shd w:fill="FFFFFF" w:val="clear"/>
            <w:vAlign w:val="center"/>
          </w:tcPr>
          <w:p>
            <w:pPr>
              <w:pStyle w:val="TableContents"/>
              <w:bidi w:val="0"/>
              <w:spacing w:before="0" w:after="0"/>
              <w:ind w:left="0" w:right="0" w:hanging="0"/>
              <w:jc w:val="left"/>
              <w:rPr/>
            </w:pPr>
            <w:r>
              <w:rPr/>
              <w:t> </w:t>
            </w:r>
          </w:p>
        </w:tc>
      </w:tr>
      <w:tr>
        <w:trPr/>
        <w:tc>
          <w:tcPr>
            <w:tcW w:w="442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0.16</w:t>
            </w:r>
          </w:p>
        </w:tc>
        <w:tc>
          <w:tcPr>
            <w:tcW w:w="74" w:type="dxa"/>
            <w:tcBorders/>
            <w:shd w:fill="CCEEFF" w:val="clear"/>
            <w:vAlign w:val="center"/>
          </w:tcPr>
          <w:p>
            <w:pPr>
              <w:pStyle w:val="TableContents"/>
              <w:bidi w:val="0"/>
              <w:spacing w:before="0" w:after="0"/>
              <w:ind w:left="0" w:right="0" w:hanging="0"/>
              <w:jc w:val="left"/>
              <w:rPr/>
            </w:pPr>
            <w:r>
              <w:rPr/>
              <w:t> </w:t>
            </w:r>
          </w:p>
        </w:tc>
        <w:tc>
          <w:tcPr>
            <w:tcW w:w="74"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0.08</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1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0.18</w:t>
            </w:r>
          </w:p>
        </w:tc>
        <w:tc>
          <w:tcPr>
            <w:tcW w:w="6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Revenue Recognition: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Under ASC Topic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Revenue from Contracts with Customers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its customer obtains control of the promised goods or services in an amount that reflects the consideration that the entity expects to be entitled in exchange for those goods or services.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contracts with customers until the FDA approved NERLYNX on </w:t>
      </w:r>
      <w:r>
        <w:rPr>
          <w:rStyle w:val="Emphasis"/>
          <w:rFonts w:ascii="Times New Roman" w:hAnsi="Times New Roman"/>
          <w:caps w:val="false"/>
          <w:smallCaps w:val="false"/>
          <w:sz w:val="20"/>
        </w:rPr>
        <w:t xml:space="preserve">July 17, 2017. </w:t>
      </w:r>
      <w:r>
        <w:rPr>
          <w:rFonts w:ascii="Times New Roman" w:hAnsi="Times New Roman"/>
          <w:caps w:val="false"/>
          <w:smallCaps w:val="false"/>
          <w:sz w:val="20"/>
        </w:rPr>
        <w:t>Subsequent to receiving FDA approval, the Company entered into a limited number of arrangements with specialty pharmacies and specialty distributors in the United States to distribute NERLYNX. These arrangements are the Company’s initial contracts with customers. The Company has determined that these sales channels with customers are similar.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Product Revenue,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sells NERLYNX to a limited number of specialty pharmacies and specialty distributors in the United States. These customers subsequently resell the Company’s products to patients and certain medical centers or hospitals. In addition to distribution agreements with these customers, the Company enters into arrangements with healthcare providers and payors that provide for government mandated and/or privately negotiated rebates, chargebacks, and discounts with respect to the purchase of the Company’s products.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recognizes revenue from product sales when the specialty pharmacy or specialty distributor, as applicable, obtains control of the Company’s product, which occurs at a point in time (upon delivery). Product revenue is recorded net of applicable reserves for variable consideration, including discounts and allowances. The Company’s payment terms range between</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10</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68</w:t>
      </w:r>
      <w:r>
        <w:rPr>
          <w:rFonts w:ascii="Times New Roman" w:hAnsi="Times New Roman"/>
          <w:caps w:val="false"/>
          <w:smallCaps w:val="false"/>
          <w:sz w:val="20"/>
          <w:shd w:fill="FFFFFF" w:val="clear"/>
        </w:rPr>
        <w:t xml:space="preserve"> days.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the Company's sub-licensees, who then sell into their respective international territories.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Shipping and handling costs for product shipments occur prior to the customer obtaining control of the goods and are recorded in cost of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If taxes relating to product sales should be collected from customers and remitted to governmental authorities, they will be excluded from revenue. The Company expenses incremental costs of obtaining a contract when incurred if the expected amortization period of the asset that the Company would have recognized is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w:t>
      </w:r>
      <w:r>
        <w:rPr>
          <w:rFonts w:ascii="Times New Roman" w:hAnsi="Times New Roman"/>
          <w:caps w:val="false"/>
          <w:smallCaps w:val="false"/>
          <w:sz w:val="20"/>
          <w:shd w:fill="FFFFFF" w:val="clear"/>
        </w:rPr>
        <w:t xml:space="preserve"> However,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such costs were incurred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Reserves for Variable Consideration: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Revenue from product sales is recorded at the net sales price (transaction price), which includes estimates of 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detailed below, are based on the related sales, and are classified as reductions of accounts receivable, net when the right of offset exists in accordance with Accounting Standards Update (“ASU”) ASU </w:t>
      </w:r>
      <w:r>
        <w:rPr>
          <w:rStyle w:val="Emphasis"/>
          <w:rFonts w:ascii="Times New Roman" w:hAnsi="Times New Roman"/>
          <w:caps w:val="false"/>
          <w:smallCaps w:val="false"/>
          <w:sz w:val="20"/>
        </w:rPr>
        <w:t>2013</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Balance Sheet (Topic </w:t>
      </w:r>
      <w:r>
        <w:rPr>
          <w:rStyle w:val="Emphasis"/>
          <w:rFonts w:ascii="Times New Roman" w:hAnsi="Times New Roman"/>
          <w:i/>
          <w:caps w:val="false"/>
          <w:smallCaps w:val="false"/>
          <w:sz w:val="20"/>
        </w:rPr>
        <w:t>210</w:t>
      </w:r>
      <w:r>
        <w:rPr>
          <w:rFonts w:ascii="Times New Roman" w:hAnsi="Times New Roman"/>
          <w:i/>
          <w:caps w:val="false"/>
          <w:smallCaps w:val="false"/>
          <w:sz w:val="20"/>
        </w:rPr>
        <w:t>): Clarifying the Scope of Disclosures about Offsetting Assets and Liabilities,</w:t>
      </w:r>
      <w:r>
        <w:rPr>
          <w:rFonts w:ascii="Times New Roman" w:hAnsi="Times New Roman"/>
          <w:caps w:val="false"/>
          <w:smallCaps w:val="false"/>
          <w:sz w:val="20"/>
        </w:rPr>
        <w:t xml:space="preserve"> or as a current liability. These estimates take into consideration a range of possible outcomes that are probability-weighted in accordance with the expected value method in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for relevant factors such as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respective underlying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amount of variable consideration that is included in the transaction price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constrained and is included in the net sales price only to the extent that it is probable that a significant reversal in the amount of the cumulative revenue recognized under the contract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in a future period. The Company’s analyses also contemplated application of the constraint in accordance with the guidance, under which it determined a significant reversal of revenue would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occur in a future period for the estimates detailed below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therefore, the transaction price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reduced further during the quarter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Actual amounts of consideration ultimately received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differ from the Company’s estimates. If actual results in the future vary from the Company’s estimates, the Company will adjust these estimates, which would affect net product revenue and earnings in the period such variances become known.</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Trade Discounts and Allowances:</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generally provides customers with discounts, which include incentive fees that are explicitly stated in the Company’s contracts and are recorded as a reduction of revenue in the period the related product revenue is recognized. The reserve for discounts is established in the same period that the related revenue is recognized, together with reductions to accounts receivable, net on the consolidated balance sheets. In addition, the Company compensates its customers for sales order management, data, and distribution services. The Company has determined such services received to date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distinct from the Company’s sale of products to its customers and, therefore, these payments have been recorded as a reduction of revenue within the condensed consolidated statements of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Product Returns: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Consistent with industry practice, the Company offers the specialty pharmacies and specialty distributors that are its customers limited product return rights for damaged and expiring product, provided it is within a specified period around the product expiration date as set forth in the applicable individual distribution agreement. The Company estimates the amount of its product sales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returned by its customers and records this estimate as a reduction of revenue in the period the related product revenue is recognized, as well as a reduction to accounts receivables, net on the consolidated balance sheets. The Company currently estimates product returns using its own sales information, including its visibility into the inventory remaining in the distribution channel. The Company has had an insignificant number of returns to date and believes that returns of its products will continue to be minimal.</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Provider Chargebacks and Discounts: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Chargebacks for fees and discounts to providers represent the estimated obligations resulting from contractual commitments to sell products to qualified healthcare providers at prices lower than the list prices charged to its customers who directly purchase the product from the Company.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and a reduction to accounts receivable, net on the consolidated balance sheets.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issued a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Government Rebates: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is subject to discount obligations under state Medicaid programs and Medicare. These reserves are recorded in the same period the related revenue is recognized, resulting in a reduction of product revenue, net, and the establishment of a current liability, which is included in accrued expenses on the condensed consolidated balance sheets. The Company’s liability for these rebates consists of invoices received for claims from prior quarters that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paid or for which an invoice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received, estimates of claims for the current quarter, and estimates of future claims that will be made for product that has been recognized as revenue, but which remains in the distribution channel at the end of each reporting period.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Payor Rebates: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contracts with certain private payor organizations, primarily insurance companies and pharmacy benefit managers, for the payment of rebates with respect to utilization of its products. The Company estimates these rebates and records such estimates in the same period the related revenue is recognized, resulting in a reduction of product revenue, net, and the establishment of a current liability, which is included in accrued expenses on the consolidated balance sheets.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Other Incentives: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Other incentives the Company offers include voluntary patient assistance programs, such as the co-pay assistance program, which are intended to provide financial assistance to qualified commercially insured patients with prescription drug co-payments required by payors. The calculation of the accrual for co-pay assistance is based on an estimate of claims and the cost per claim that the Company expects to receive associated with product that has been recognized as revenue but remains in the distribution channel at the end of each reporting period. The adjustments are recorded in the same period the related revenue is recognized, resulting in a reduction of product revenue and the establishment of a current liability, which is included as a component of accrued expenses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License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also recognizes license revenue under certain of the Company’s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terms of these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contain multiple performance obligations,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include licenses and research and development activities. The Company evaluates these agreements under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to determine the distinct performance obligations. Non-refundable, upfront fees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contingent on any future performance and require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consequential continuing involvement by the Company, are recognized as revenue when the license term commences and the licensed data, technology or product is delivered. The Company defers recognition of non-refundable upfront license fees if the performance obligations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satisfied. The Company’s payment terms range between the execution date of the sub-license agreement and </w:t>
      </w:r>
      <w:r>
        <w:rPr>
          <w:rStyle w:val="Emphasis"/>
          <w:rFonts w:ascii="Times New Roman" w:hAnsi="Times New Roman"/>
          <w:caps w:val="false"/>
          <w:smallCaps w:val="false"/>
          <w:sz w:val="20"/>
        </w:rPr>
        <w:t>45</w:t>
      </w:r>
      <w:r>
        <w:rPr>
          <w:rFonts w:ascii="Times New Roman" w:hAnsi="Times New Roman"/>
          <w:caps w:val="false"/>
          <w:smallCaps w:val="false"/>
          <w:sz w:val="20"/>
        </w:rPr>
        <w:t xml:space="preser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 and when the uncertainty associated with the variable consideration is subsequently resolved.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Revenue is recognized by measuring the progress toward complete satisfaction of the performance obligations using an input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Since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the Company has entered into sub-license agreements with certain sub-licensees in territories outside of the United States. These sub-licensing agreements grant certain intellectual property rights and set forth various obligations with respect to actions such as development, pursuit and maintenance of regulatory approvals, commercialization and supply of NERLYNX in the sub-licensees’ respective territories.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License fees under the sub-license agreements include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upfront payments when each sub-license agreement was executed and potential additional </w:t>
      </w:r>
      <w:r>
        <w:rPr>
          <w:rStyle w:val="Emphasis"/>
          <w:rFonts w:ascii="Times New Roman" w:hAnsi="Times New Roman"/>
          <w:caps w:val="false"/>
          <w:smallCaps w:val="false"/>
          <w:sz w:val="20"/>
        </w:rPr>
        <w:t>one</w:t>
      </w:r>
      <w:r>
        <w:rPr>
          <w:rFonts w:ascii="Times New Roman" w:hAnsi="Times New Roman"/>
          <w:caps w:val="false"/>
          <w:smallCaps w:val="false"/>
          <w:sz w:val="20"/>
        </w:rPr>
        <w:t>-time milestone payments due to the Company upon successful completion of certain performance obligations, such as achieving regulatory approvals or sales target thresholds, and potential double-digit royalties on sales of the licensed product, calculated as a percentage of net sales of the licensed product throughout each sub-licensee’s respective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total potential milestone payments that would be due to the Company upon achievement of all respective performance obligations under the sub-license agreements is approximately $579.8 million. A</w:t>
      </w:r>
      <w:r>
        <w:rPr>
          <w:rFonts w:ascii="Times New Roman" w:hAnsi="Times New Roman"/>
          <w:caps w:val="false"/>
          <w:smallCaps w:val="false"/>
          <w:sz w:val="20"/>
          <w:shd w:fill="FFFFFF" w:val="clear"/>
        </w:rPr>
        <w:t xml:space="preserve">t </w:t>
      </w:r>
      <w:r>
        <w:rPr>
          <w:rFonts w:ascii="Times New Roman" w:hAnsi="Times New Roman"/>
          <w:caps w:val="false"/>
          <w:smallCaps w:val="false"/>
          <w:sz w:val="20"/>
        </w:rPr>
        <w:t>this time, the Company cannot estimate if or when these milestone-related performance obligations might be achieved.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Royalty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For sub-license agreements that are within the scope of ASC </w:t>
      </w:r>
      <w:r>
        <w:rPr>
          <w:rStyle w:val="Emphasis"/>
          <w:rFonts w:ascii="Times New Roman" w:hAnsi="Times New Roman"/>
          <w:caps w:val="false"/>
          <w:smallCaps w:val="false"/>
          <w:sz w:val="20"/>
        </w:rPr>
        <w:t>606,</w:t>
      </w:r>
      <w:r>
        <w:rPr>
          <w:rFonts w:ascii="Times New Roman" w:hAnsi="Times New Roman"/>
          <w:caps w:val="false"/>
          <w:smallCaps w:val="false"/>
          <w:sz w:val="20"/>
        </w:rPr>
        <w:t xml:space="preserve"> the Company recognizes revenue when the related sales occur in accordance with the sales-based royalty exception under ASC </w:t>
      </w:r>
      <w:r>
        <w:rPr>
          <w:rStyle w:val="Emphasis"/>
          <w:rFonts w:ascii="Times New Roman" w:hAnsi="Times New Roman"/>
          <w:caps w:val="false"/>
          <w:smallCaps w:val="false"/>
          <w:sz w:val="20"/>
        </w:rPr>
        <w:t>606</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55</w:t>
      </w:r>
      <w:r>
        <w:rPr>
          <w:rFonts w:ascii="Times New Roman" w:hAnsi="Times New Roman"/>
          <w:caps w:val="false"/>
          <w:smallCaps w:val="false"/>
          <w:sz w:val="20"/>
        </w:rPr>
        <w:t>-</w:t>
      </w:r>
      <w:r>
        <w:rPr>
          <w:rStyle w:val="Emphasis"/>
          <w:rFonts w:ascii="Times New Roman" w:hAnsi="Times New Roman"/>
          <w:caps w:val="false"/>
          <w:smallCaps w:val="false"/>
          <w:sz w:val="2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Royalty revenue consists of consideration earned related to international sales of NERLYNX made by the Company’s sub-licensees in their respective territories. The Company recognizes royalty revenue when the performance obligations have been satisfied. The Company’s payment terms range between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60</w:t>
      </w:r>
      <w:r>
        <w:rPr>
          <w:rFonts w:ascii="Times New Roman" w:hAnsi="Times New Roman"/>
          <w:caps w:val="false"/>
          <w:smallCaps w:val="false"/>
          <w:sz w:val="20"/>
        </w:rPr>
        <w:t> days.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Royalty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Royalties incurred in connection with the Company’s license agreement with Pfizer, as disclosed in Note </w:t>
      </w:r>
      <w:r>
        <w:rPr>
          <w:rStyle w:val="Emphasis"/>
          <w:rFonts w:ascii="Times New Roman" w:hAnsi="Times New Roman"/>
          <w:caps w:val="false"/>
          <w:smallCaps w:val="false"/>
          <w:sz w:val="20"/>
        </w:rPr>
        <w:t>12—Commitments</w:t>
      </w:r>
      <w:r>
        <w:rPr>
          <w:rFonts w:ascii="Times New Roman" w:hAnsi="Times New Roman"/>
          <w:caps w:val="false"/>
          <w:smallCaps w:val="false"/>
          <w:sz w:val="20"/>
        </w:rPr>
        <w:t xml:space="preserve"> and Contingencies, are expensed to cost of sales as revenue from product sales is recognized.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Legal Contingencies and Expense: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For legal contingencies, the Company accrues a liability for an estimated loss if the potential loss from any claim or legal proceeding is considered probable and the amount can be reasonably estimated. Legal fees and expenses are expensed as incurred based on invoices or estimates provided by legal counsel. The Company periodically evaluates available information, both internal and external, relative to such contingencies and adjusts the accrual, as necessary. The Company determines whether a contingency should be disclosed by assessing whether a material loss is deemed reasonably possible. In determining whether a loss should be accrued, the Company evaluates, among other factors, the degree of probability of an unfavorable outcome and the ability to make a reasonable estimate of the amount of the loss (see Note </w:t>
      </w:r>
      <w:r>
        <w:rPr>
          <w:rStyle w:val="Emphasis"/>
          <w:rFonts w:ascii="Times New Roman" w:hAnsi="Times New Roman"/>
          <w:caps w:val="false"/>
          <w:smallCaps w:val="false"/>
          <w:sz w:val="20"/>
        </w:rPr>
        <w:t>12—Commitments</w:t>
      </w:r>
      <w:r>
        <w:rPr>
          <w:rFonts w:ascii="Times New Roman" w:hAnsi="Times New Roman"/>
          <w:caps w:val="false"/>
          <w:smallCaps w:val="false"/>
          <w:sz w:val="20"/>
        </w:rPr>
        <w:t xml:space="preserve"> and Contingencies).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Research a</w:t>
      </w:r>
      <w:r>
        <w:rPr>
          <w:rFonts w:ascii="Times New Roman" w:hAnsi="Times New Roman"/>
          <w:b/>
          <w:caps w:val="false"/>
          <w:smallCaps w:val="false"/>
          <w:sz w:val="20"/>
          <w:shd w:fill="FFFFFF" w:val="clear"/>
        </w:rPr>
        <w:t>nd Development Ex</w:t>
      </w:r>
      <w:r>
        <w:rPr>
          <w:rFonts w:ascii="Times New Roman" w:hAnsi="Times New Roman"/>
          <w:b/>
          <w:caps w:val="false"/>
          <w:smallCaps w:val="false"/>
          <w:sz w:val="20"/>
        </w:rPr>
        <w:t>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Research and development expenses are charged to operations as incurred. The major components of research and development cos</w:t>
      </w:r>
      <w:r>
        <w:rPr>
          <w:rFonts w:ascii="Times New Roman" w:hAnsi="Times New Roman"/>
          <w:caps w:val="false"/>
          <w:smallCaps w:val="false"/>
          <w:sz w:val="20"/>
        </w:rPr>
        <w:t xml:space="preserve">ts include clinical manufacturing costs, clinical trial expenses, consulting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costs, salaries and employee benefits, stock-based compensation expense, supplies and materials, and allocations of various overhead costs. Clinical trial expenses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investigator fees, site costs, comparator drug costs, and CRO costs. In the normal course of business, the Company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perform various clinical trial activities in the ongoing development of potential products. The financial terms of these agreements are subject to negotiation and variations from contract to contract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result in uneven payment flows. Payments under the contracts depend on factors such as the achievement of certain events, the successful enrollment of patients and the completion of portions of the clinical trial or similar conditions. The Company’s accruals for clinical trials are based on estimates of the services received and efforts expended pursuant to contracts with numerous clinical trial sites, cooperative groups and CROs. As actual costs become known, the Company adjusts its accruals in that period.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instances where the Company enters into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for clinical trials and other consulting activities, upfront amounts are recorded to prepaid expenses and other in the accompanying consolidated balance sheets and expensed as services are performed or as the underlying goods are delivered. If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the services to be rendered or goods to be delivered, any remaining capitalized amounts for non-refundable upfront payments are charged to expense immediately. Amounts due under such arrangements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either fixed fee or fee for service,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upfront payments, monthly payments, and payments upon the completion of milestones or receipt of deliverables.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Costs related to the acquisition of technology rights and patents for which development work is still in process are charged to operations as incurred and considered a component of research and development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b/>
          <w:caps w:val="false"/>
          <w:smallCaps w:val="false"/>
          <w:color w:val="000000"/>
          <w:sz w:val="20"/>
        </w:rPr>
        <w:t>Stock-Based Compensation:</w:t>
      </w:r>
      <w:r>
        <w:rPr>
          <w:rFonts w:ascii="Times New Roman;Times;serif" w:hAnsi="Times New Roman;Times;serif"/>
          <w:caps w:val="false"/>
          <w:smallCaps w:val="false"/>
          <w:color w:val="000000"/>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Stock Option Awards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Compensation—Stock Compensation</w:t>
      </w:r>
      <w:r>
        <w:rPr>
          <w:rFonts w:ascii="Times New Roman" w:hAnsi="Times New Roman"/>
          <w:caps w:val="false"/>
          <w:smallCaps w:val="false"/>
          <w:sz w:val="20"/>
        </w:rPr>
        <w:t xml:space="preserve">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requires the fair value of all share-based payments to employees and non-employees, including grants of stock options, to be recognized in the statement of operations over the requisite service period.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employee and non-employee option grants are generally valued at the grant date and those valuations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 once they have been established. The fair value of each option award is estimated on the grant date using the Black-Scholes Option Pricing Method. The Company’s estimate of expected volatility is based on its average volatility using its expected life, or approximately the last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years of publicly traded history. The risk-free rate for periods within the contractual life of the option is based on the U.S. Treasury yield curve in effect at the time of grant valuation. Option forfeitures are estimated when the option is granted to reduce the option expense to be recognized over the life of the award. The estimated forfeiture rate considers historical employee turnover rates stratified into employee pools, actual forfeiture experience,</w:t>
      </w:r>
    </w:p>
    <w:p>
      <w:pPr>
        <w:pStyle w:val="TextBody"/>
        <w:bidi w:val="0"/>
        <w:spacing w:before="0" w:after="0"/>
        <w:ind w:left="0" w:right="0" w:firstLine="540"/>
        <w:jc w:val="left"/>
        <w:rPr>
          <w:caps w:val="false"/>
          <w:smallCaps w:val="false"/>
        </w:rPr>
      </w:pPr>
      <w:r>
        <w:rPr>
          <w:caps w:val="false"/>
          <w:smallCaps w:val="false"/>
        </w:rPr>
        <w:t> </w:t>
      </w:r>
      <w:r>
        <w:rPr>
          <w:rFonts w:ascii="Times New Roman" w:hAnsi="Times New Roman"/>
          <w:caps w:val="false"/>
          <w:smallCaps w:val="false"/>
          <w:sz w:val="20"/>
        </w:rPr>
        <w:t>and other factors. The option expense is adjusted upon the actual forfeiture of a stock option grant, and the Company periodically revises the estimated forfeiture rate in subsequent periods if actual forfeitures differ from those estimates. Due to its limited history of stock option exercises, the Company uses the simplified method to determine the expected life of the option grants. Compensation expense related to modified stock options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Restricted Stock Units: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RSUs are valued on the grant date and the fair value of the RSUs is equal to the market price of the Company’s common stock on the grant date. The RSU expense is recognized over the requisite service period. When the requisite service period begins prior to the grant date (because the service inception date occurs prior to the grant date), the Company is required to begin recognizing compensation cost before there is a measurement date (i.e., the grant date). The service inception date is the beginning of the requisite service period. If the service inception date precedes the grant date, accrual of compensation cost for periods before the grant date shall be based on the fair value of the award at the reporting date. In the period in which the grant date occurs, cumulative compensation cost shall be adjusted to reflect the cumulative effect of measuring compensation cost based on fair value at the grant date rather than the fair value previously used at the service inception date (or any subsequent reporting date). RSU forfeitures are estimated when the RSU is granted to reduce the RSU expense to be recognized over the life of the award. The estimated forfeiture rate considers historical employee turnover rates stratified into employee pools, actual forfeiture experience, and other factors. The RSU expense is adjusted upon the actual forfeiture of an RSU grant and the Company periodically revises the estimated forfeiture rate in subsequent periods if actual forfeitures differ from those estimates. Compensation expense related to modified RSUs is measured based on the fair value for the awards as of the modification date. Any incremental compensation expense arising from the excess of the fair value of the awards on the modification date compared to the fair value of the awards immediately before the modification date is recognized at the modification date or ratably over the requisite service period,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Warrants</w:t>
      </w:r>
      <w:r>
        <w:rPr>
          <w:rFonts w:ascii="Times New Roman" w:hAnsi="Times New Roman"/>
          <w:b/>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Warrants (see Note </w:t>
      </w:r>
      <w:r>
        <w:rPr>
          <w:rStyle w:val="Emphasis"/>
          <w:rFonts w:ascii="Times New Roman" w:hAnsi="Times New Roman"/>
          <w:caps w:val="false"/>
          <w:smallCaps w:val="false"/>
          <w:sz w:val="20"/>
        </w:rPr>
        <w:t>10—Stoc</w:t>
      </w:r>
      <w:r>
        <w:rPr>
          <w:rFonts w:ascii="Times New Roman" w:hAnsi="Times New Roman"/>
          <w:caps w:val="false"/>
          <w:smallCaps w:val="false"/>
          <w:sz w:val="20"/>
          <w:shd w:fill="FFFFFF" w:val="clear"/>
        </w:rPr>
        <w:t>kholders’ Equity for fu</w:t>
      </w:r>
      <w:r>
        <w:rPr>
          <w:rFonts w:ascii="Times New Roman" w:hAnsi="Times New Roman"/>
          <w:caps w:val="false"/>
          <w:smallCaps w:val="false"/>
          <w:sz w:val="20"/>
        </w:rPr>
        <w:t xml:space="preserve">rther details) granted to employees and non-employees are normally valued at the fair value of the instrument on the grant date and are recognized in the statement of operations over the requisite service period. When the requisite service period precedes the grant date and a market condition exists in the warrant, the Company values the warrant using the Monte Carlo Simulation Method. When the terms of the warrant become fixed, the Company values the warrant using the Black-Scholes Option Pricing Method. The Company’s estimate of expected volatility is based on its average volatility using its past </w:t>
      </w:r>
      <w:r>
        <w:rPr>
          <w:rStyle w:val="Emphasis"/>
          <w:rFonts w:ascii="Times New Roman" w:hAnsi="Times New Roman"/>
          <w:caps w:val="false"/>
          <w:smallCaps w:val="false"/>
          <w:sz w:val="20"/>
        </w:rPr>
        <w:t>nine</w:t>
      </w:r>
      <w:r>
        <w:rPr>
          <w:rFonts w:ascii="Times New Roman" w:hAnsi="Times New Roman"/>
          <w:caps w:val="false"/>
          <w:smallCaps w:val="false"/>
          <w:sz w:val="20"/>
        </w:rPr>
        <w:t> years of publicly traded history. The risk-free rate for periods within the contractual life of the warrant is based on the U.S. Treasury yield curve in effect at the time of grant valuation. In determining the value of the warrant until the terms are fixed, the Company factors in the probability of the market condition occurring and several possible scenarios. When the requisite service period precedes the grant date and is deemed to be complete, the Company records the fair value of the warrant at the time of issuance as an equity stock-based compensation transaction. The grant date is determined when all pertinent information, such as exercise price and quantity are known.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follows ASC Topic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which requires recognition of deferred tax assets and liabilities for the expected future tax consequences of events that have been included in the consolidated financial statements or tax returns. Under this method, deferred tax assets and liabilities are based on the differences between the consolidated financial statement and tax basis of assets and liabilities using enacted tax rates in effect for the year in which the differences are expected to reverse. Deferred tax assets are reduced by a valuation allowance to the extent management concludes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asset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realized. Deferred tax assets and liabilities are measured using enacted tax rates expected to apply to taxable income in the years in which those temporary differences are expected to be recovered or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standard addresses the determination of whether tax benefits claimed or expected to be claimed on a tax return should be recorded in the consolidated financial statements. Under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recognize the tax benefit from an uncertain tax position only if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tax position will be sustained on examination by the tax authorities, based on the technical merits of the position. The tax benefits recognized in the consolidated financial statements from such a position should be measured based on the largest benefit that has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realized upon ultimate settlement.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also provides guidance on de-recognition, classification, interest and penalties on income taxes, accounting in interim periods and requires increased disclosures.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Company’s uncertain tax positions include a reserve for its research and development credits.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Financial Instruments: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carrying value of financial instruments, such as cash equivalents, accounts receivable and accounts payable, approximate their fair value because of their short-term nature. The carrying value of long-term debt approximates its fair value as the principal amounts outstanding are subject to variable interest rates that are based on market rates that are regularly reset.</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Cash and Cash Equivalents: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classifies all highly liquid instruments with an original maturity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as cash equivalents.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Restricted Cash:</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Restricted cash represents cash held at financial institutions that is pledged as collateral for stand-by letters of credit for office leas</w:t>
      </w:r>
      <w:r>
        <w:rPr>
          <w:rFonts w:ascii="Times New Roman" w:hAnsi="Times New Roman"/>
          <w:caps w:val="false"/>
          <w:smallCaps w:val="false"/>
          <w:sz w:val="20"/>
          <w:shd w:fill="FFFFFF" w:val="clear"/>
        </w:rPr>
        <w:t>es</w:t>
      </w:r>
      <w:r>
        <w:rPr>
          <w:rFonts w:ascii="Times New Roman" w:hAnsi="Times New Roman"/>
          <w:caps w:val="false"/>
          <w:smallCaps w:val="false"/>
          <w:sz w:val="20"/>
        </w:rPr>
        <w:t xml:space="preserve">. The lease-related letters of credit were terminated, and the related cash collateral was released,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shd w:fill="FFFFFF" w:val="clear"/>
        </w:rPr>
        <w:t>At each of the periods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t>
      </w:r>
      <w:r>
        <w:rPr>
          <w:rFonts w:ascii="Times New Roman" w:hAnsi="Times New Roman"/>
          <w:caps w:val="false"/>
          <w:smallCaps w:val="false"/>
          <w:sz w:val="20"/>
          <w:shd w:fill="FFFFFF" w:val="clear"/>
        </w:rPr>
        <w:t>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shd w:fill="FFFFFF" w:val="clear"/>
        </w:rPr>
        <w:t>, the Company had restricted cash of approximately </w:t>
      </w:r>
      <w:r>
        <w:rPr>
          <w:rFonts w:ascii="Times New Roman" w:hAnsi="Times New Roman"/>
          <w:caps w:val="false"/>
          <w:smallCaps w:val="false"/>
          <w:sz w:val="20"/>
        </w:rPr>
        <w:t>$0.0 </w:t>
      </w:r>
      <w:r>
        <w:rPr>
          <w:rFonts w:ascii="Times New Roman" w:hAnsi="Times New Roman"/>
          <w:caps w:val="false"/>
          <w:smallCaps w:val="false"/>
          <w:sz w:val="20"/>
          <w:shd w:fill="FFFFFF" w:val="clear"/>
        </w:rPr>
        <w:t>million and $2.1 million, respectively.</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Investment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classifies all investment securities (short-term and long-term) as available-for-sale, as the sale of such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prior to maturity to implement management’s strategies. These securities are carried at fair value, with the unrealized gains and losses reported as a component of accumulated other comprehensive income in stockholders’ equity until realized. Realized gains and losses from the sale of available-for-sale securities, if any, are determined on a specific identification basis. In accordance with ASU </w:t>
      </w:r>
      <w:r>
        <w:rPr>
          <w:rStyle w:val="Emphasis"/>
          <w:rFonts w:ascii="Times New Roman" w:hAnsi="Times New Roman"/>
          <w:caps w:val="false"/>
          <w:smallCaps w:val="false"/>
          <w:sz w:val="20"/>
        </w:rPr>
        <w:t>2016</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Measurement of Credit Losses on Financial Instruments</w:t>
      </w:r>
      <w:r>
        <w:rPr>
          <w:rFonts w:ascii="Times New Roman" w:hAnsi="Times New Roman"/>
          <w:caps w:val="false"/>
          <w:smallCaps w:val="false"/>
          <w:sz w:val="20"/>
        </w:rPr>
        <w:t>, credit losses on available-for-sale securities are reported using an expected loss model and recorded to an allowance. Premiums and discounts are amortized or accreted over the life of the related security as an adjustment to yield using the straight-line method. Interest income is recognized when earned.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Assets Measured at Fair Value on a Recurring Basis: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provides a single definition of fair value and a common framework for measuring fair value as well as disclosure requirements for fair value measurements used in financial statements. Under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fair value is determined based upon the exit price that would be received by a company to sell an asset or paid by a company to transfer a liability in an orderly transaction between market participants, exclusive of any transaction costs. Fair value measurements are determined by either the principal market or the most advantageous market. The principal market is the market with the greatest level of activity and volume for the asset or liability. Absent a principal market to measure fair value, the Company uses the most advantageous market, which is the market from which the Company would receive the highest selling price for the asset or pay the lowest price to settle the liability, after considering transaction costs. However, when using the most advantageous market, transaction costs are only considered to determine which market is the most advantageous and these costs are then excluded when applying a fair value measurement.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creates a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-level hierarchy to prioritize the inputs used in the valuation techniques to derive fair values. The basis for fair value measurements for each level within the hierarchy is described below, with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having the highest priority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having the lowest.</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0" w:type="dxa"/>
          <w:right w:w="0" w:type="dxa"/>
        </w:tblCellMar>
      </w:tblPr>
      <w:tblGrid>
        <w:gridCol w:w="60"/>
        <w:gridCol w:w="695"/>
        <w:gridCol w:w="5195"/>
      </w:tblGrid>
      <w:tr>
        <w:trPr/>
        <w:tc>
          <w:tcPr>
            <w:tcW w:w="60"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1:</w:t>
            </w:r>
          </w:p>
        </w:tc>
        <w:tc>
          <w:tcPr>
            <w:tcW w:w="5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Quoted prices in active markets for identical assets or liabilities.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583"/>
        <w:gridCol w:w="9562"/>
      </w:tblGrid>
      <w:tr>
        <w:trPr/>
        <w:tc>
          <w:tcPr>
            <w:tcW w:w="60" w:type="dxa"/>
            <w:tcBorders/>
            <w:vAlign w:val="center"/>
          </w:tcPr>
          <w:p>
            <w:pPr>
              <w:pStyle w:val="TableContents"/>
              <w:bidi w:val="0"/>
              <w:spacing w:before="0" w:after="0"/>
              <w:ind w:left="0" w:right="0" w:hanging="0"/>
              <w:jc w:val="left"/>
              <w:rPr/>
            </w:pPr>
            <w:r>
              <w:rPr/>
              <w:t> </w:t>
            </w:r>
          </w:p>
        </w:tc>
        <w:tc>
          <w:tcPr>
            <w:tcW w:w="583"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2:</w:t>
            </w:r>
          </w:p>
        </w:tc>
        <w:tc>
          <w:tcPr>
            <w:tcW w:w="9562" w:type="dxa"/>
            <w:tcBorders/>
            <w:vAlign w:val="center"/>
          </w:tcPr>
          <w:p>
            <w:pPr>
              <w:pStyle w:val="TableContents"/>
              <w:bidi w:val="0"/>
              <w:spacing w:before="0" w:after="0"/>
              <w:ind w:left="0" w:right="0" w:hanging="0"/>
              <w:jc w:val="left"/>
              <w:rPr/>
            </w:pPr>
            <w:r>
              <w:rPr>
                <w:rFonts w:ascii="Times New Roman" w:hAnsi="Times New Roman"/>
                <w:sz w:val="20"/>
              </w:rPr>
              <w:t xml:space="preserve">Quoted prices for similar assets or liabilities in active markets; quoted prices for identical or similar instruments in markets that are </w:t>
            </w:r>
            <w:r>
              <w:rPr>
                <w:rStyle w:val="Emphasis"/>
                <w:rFonts w:ascii="Times New Roman" w:hAnsi="Times New Roman"/>
                <w:sz w:val="20"/>
              </w:rPr>
              <w:t>not</w:t>
            </w:r>
            <w:r>
              <w:rPr>
                <w:rFonts w:ascii="Times New Roman" w:hAnsi="Times New Roman"/>
                <w:sz w:val="20"/>
              </w:rPr>
              <w:t xml:space="preserve"> active; and model-derived valuations in which all significant inputs are observable in active markets.</w:t>
            </w:r>
          </w:p>
        </w:tc>
      </w:tr>
    </w:tbl>
    <w:p>
      <w:pPr>
        <w:pStyle w:val="TextBody"/>
        <w:bidi w:val="0"/>
        <w:spacing w:before="0" w:after="0"/>
        <w:ind w:left="0" w:right="0" w:hanging="0"/>
        <w:jc w:val="left"/>
        <w:rPr/>
      </w:pPr>
      <w:r>
        <w:rPr/>
        <w:t> </w:t>
      </w:r>
    </w:p>
    <w:tbl>
      <w:tblPr>
        <w:tblW w:w="9190" w:type="dxa"/>
        <w:jc w:val="left"/>
        <w:tblInd w:w="0" w:type="dxa"/>
        <w:tblLayout w:type="fixed"/>
        <w:tblCellMar>
          <w:top w:w="0" w:type="dxa"/>
          <w:left w:w="0" w:type="dxa"/>
          <w:bottom w:w="0" w:type="dxa"/>
          <w:right w:w="0" w:type="dxa"/>
        </w:tblCellMar>
      </w:tblPr>
      <w:tblGrid>
        <w:gridCol w:w="60"/>
        <w:gridCol w:w="695"/>
        <w:gridCol w:w="8435"/>
      </w:tblGrid>
      <w:tr>
        <w:trPr/>
        <w:tc>
          <w:tcPr>
            <w:tcW w:w="60" w:type="dxa"/>
            <w:tcBorders/>
            <w:vAlign w:val="center"/>
          </w:tcPr>
          <w:p>
            <w:pPr>
              <w:pStyle w:val="TableContents"/>
              <w:bidi w:val="0"/>
              <w:spacing w:before="0" w:after="0"/>
              <w:ind w:left="0" w:right="0" w:hanging="0"/>
              <w:jc w:val="left"/>
              <w:rPr/>
            </w:pPr>
            <w:r>
              <w:rPr/>
              <w:t> </w:t>
            </w:r>
          </w:p>
        </w:tc>
        <w:tc>
          <w:tcPr>
            <w:tcW w:w="695" w:type="dxa"/>
            <w:tcBorders/>
            <w:vAlign w:val="center"/>
          </w:tcPr>
          <w:p>
            <w:pPr>
              <w:pStyle w:val="TableContents"/>
              <w:bidi w:val="0"/>
              <w:spacing w:before="0" w:after="0"/>
              <w:ind w:left="0" w:right="0" w:hanging="0"/>
              <w:jc w:val="left"/>
              <w:rPr/>
            </w:pPr>
            <w:r>
              <w:rPr>
                <w:rFonts w:ascii="Times New Roman" w:hAnsi="Times New Roman"/>
                <w:sz w:val="20"/>
              </w:rPr>
              <w:t xml:space="preserve">Level </w:t>
            </w:r>
            <w:r>
              <w:rPr>
                <w:rStyle w:val="Emphasis"/>
                <w:rFonts w:ascii="Times New Roman" w:hAnsi="Times New Roman"/>
                <w:sz w:val="20"/>
              </w:rPr>
              <w:t>3:</w:t>
            </w:r>
          </w:p>
        </w:tc>
        <w:tc>
          <w:tcPr>
            <w:tcW w:w="8435" w:type="dxa"/>
            <w:tcBorders/>
            <w:vAlign w:val="center"/>
          </w:tcPr>
          <w:p>
            <w:pPr>
              <w:pStyle w:val="TableContents"/>
              <w:bidi w:val="0"/>
              <w:spacing w:before="0" w:after="0"/>
              <w:ind w:left="0" w:right="0" w:hanging="0"/>
              <w:jc w:val="left"/>
              <w:rPr/>
            </w:pPr>
            <w:r>
              <w:rPr>
                <w:rFonts w:ascii="Times New Roman" w:hAnsi="Times New Roman"/>
                <w:sz w:val="20"/>
              </w:rPr>
              <w:t xml:space="preserve">Valuations derived from valuation techniques in which </w:t>
            </w:r>
            <w:r>
              <w:rPr>
                <w:rStyle w:val="Emphasis"/>
                <w:rFonts w:ascii="Times New Roman" w:hAnsi="Times New Roman"/>
                <w:sz w:val="20"/>
              </w:rPr>
              <w:t>one</w:t>
            </w:r>
            <w:r>
              <w:rPr>
                <w:rFonts w:ascii="Times New Roman" w:hAnsi="Times New Roman"/>
                <w:sz w:val="20"/>
              </w:rPr>
              <w:t xml:space="preserve"> or more significant inputs are unobservable.</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Following are the major categories of assets measured at fair value on a recurring basis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using quoted prices in active markets for identical assets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significant other observable inputs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significant unobservable inputs (Level </w:t>
      </w:r>
      <w:r>
        <w:rPr>
          <w:rStyle w:val="Emphasis"/>
          <w:rFonts w:ascii="Times New Roman" w:hAnsi="Times New Roman"/>
          <w:caps w:val="false"/>
          <w:smallCaps w:val="false"/>
          <w:sz w:val="20"/>
        </w:rPr>
        <w:t>3</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5484" w:type="dxa"/>
        <w:jc w:val="left"/>
        <w:tblInd w:w="0" w:type="dxa"/>
        <w:tblLayout w:type="fixed"/>
        <w:tblCellMar>
          <w:top w:w="0" w:type="dxa"/>
          <w:left w:w="0" w:type="dxa"/>
          <w:bottom w:w="0" w:type="dxa"/>
          <w:right w:w="0" w:type="dxa"/>
        </w:tblCellMar>
      </w:tblPr>
      <w:tblGrid>
        <w:gridCol w:w="2240"/>
        <w:gridCol w:w="60"/>
        <w:gridCol w:w="125"/>
        <w:gridCol w:w="590"/>
        <w:gridCol w:w="60"/>
        <w:gridCol w:w="60"/>
        <w:gridCol w:w="125"/>
        <w:gridCol w:w="590"/>
        <w:gridCol w:w="60"/>
        <w:gridCol w:w="60"/>
        <w:gridCol w:w="200"/>
        <w:gridCol w:w="419"/>
        <w:gridCol w:w="60"/>
        <w:gridCol w:w="60"/>
        <w:gridCol w:w="125"/>
        <w:gridCol w:w="590"/>
        <w:gridCol w:w="60"/>
      </w:tblGrid>
      <w:tr>
        <w:trPr/>
        <w:tc>
          <w:tcPr>
            <w:tcW w:w="22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18,393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21,814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33,997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6,408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32,808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53,945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86,753</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5484" w:type="dxa"/>
        <w:jc w:val="left"/>
        <w:tblInd w:w="0" w:type="dxa"/>
        <w:tblLayout w:type="fixed"/>
        <w:tblCellMar>
          <w:top w:w="0" w:type="dxa"/>
          <w:left w:w="0" w:type="dxa"/>
          <w:bottom w:w="0" w:type="dxa"/>
          <w:right w:w="0" w:type="dxa"/>
        </w:tblCellMar>
      </w:tblPr>
      <w:tblGrid>
        <w:gridCol w:w="2240"/>
        <w:gridCol w:w="60"/>
        <w:gridCol w:w="125"/>
        <w:gridCol w:w="590"/>
        <w:gridCol w:w="60"/>
        <w:gridCol w:w="60"/>
        <w:gridCol w:w="125"/>
        <w:gridCol w:w="590"/>
        <w:gridCol w:w="60"/>
        <w:gridCol w:w="60"/>
        <w:gridCol w:w="200"/>
        <w:gridCol w:w="419"/>
        <w:gridCol w:w="60"/>
        <w:gridCol w:w="60"/>
        <w:gridCol w:w="125"/>
        <w:gridCol w:w="590"/>
        <w:gridCol w:w="60"/>
      </w:tblGrid>
      <w:tr>
        <w:trPr/>
        <w:tc>
          <w:tcPr>
            <w:tcW w:w="22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27,903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41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42,776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41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91,663</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investments in commercial</w:t>
      </w:r>
      <w:r>
        <w:rPr>
          <w:rFonts w:ascii="Times New Roman" w:hAnsi="Times New Roman"/>
          <w:caps w:val="false"/>
          <w:smallCaps w:val="false"/>
          <w:sz w:val="20"/>
          <w:shd w:fill="FFFFFF" w:val="clear"/>
        </w:rPr>
        <w:t xml:space="preserve"> pa</w:t>
      </w:r>
      <w:r>
        <w:rPr>
          <w:rFonts w:ascii="Times New Roman" w:hAnsi="Times New Roman"/>
          <w:caps w:val="false"/>
          <w:smallCaps w:val="false"/>
          <w:color w:val="000000"/>
          <w:sz w:val="20"/>
          <w:shd w:fill="FFFFFF" w:val="clear"/>
        </w:rPr>
        <w:t>per,</w:t>
      </w:r>
      <w:r>
        <w:rPr>
          <w:rFonts w:ascii="Times New Roman" w:hAnsi="Times New Roman"/>
          <w:caps w:val="false"/>
          <w:smallCaps w:val="false"/>
          <w:sz w:val="20"/>
        </w:rPr>
        <w:t> corporate bonds and U.S. government securities are exposed to price fluctuations. The fair value measurements for commercial p</w:t>
      </w:r>
      <w:r>
        <w:rPr>
          <w:rFonts w:ascii="Times New Roman" w:hAnsi="Times New Roman"/>
          <w:caps w:val="false"/>
          <w:smallCaps w:val="false"/>
          <w:sz w:val="20"/>
          <w:shd w:fill="FFFFFF" w:val="clear"/>
        </w:rPr>
        <w:t>aper, corporate bonds an</w:t>
      </w:r>
      <w:r>
        <w:rPr>
          <w:rFonts w:ascii="Times New Roman" w:hAnsi="Times New Roman"/>
          <w:caps w:val="false"/>
          <w:smallCaps w:val="false"/>
          <w:sz w:val="20"/>
        </w:rPr>
        <w:t>d U.S. government securities are based upon the quoted prices of similar items in active markets multiplied by the number of securities owned.</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tables summarize the Company’s cash equivalents and short-term investments (in thousands):</w:t>
      </w:r>
    </w:p>
    <w:p>
      <w:pPr>
        <w:pStyle w:val="TextBody"/>
        <w:bidi w:val="0"/>
        <w:spacing w:before="0" w:after="0"/>
        <w:ind w:left="0" w:right="0" w:hanging="0"/>
        <w:jc w:val="left"/>
        <w:rPr>
          <w:caps w:val="false"/>
          <w:smallCaps w:val="false"/>
        </w:rPr>
      </w:pPr>
      <w:r>
        <w:rPr>
          <w:caps w:val="false"/>
          <w:smallCaps w:val="false"/>
        </w:rPr>
        <w:t> </w:t>
      </w:r>
    </w:p>
    <w:tbl>
      <w:tblPr>
        <w:tblW w:w="6544" w:type="dxa"/>
        <w:jc w:val="left"/>
        <w:tblInd w:w="0" w:type="dxa"/>
        <w:tblLayout w:type="fixed"/>
        <w:tblCellMar>
          <w:top w:w="0" w:type="dxa"/>
          <w:left w:w="0" w:type="dxa"/>
          <w:bottom w:w="0" w:type="dxa"/>
          <w:right w:w="0" w:type="dxa"/>
        </w:tblCellMar>
      </w:tblPr>
      <w:tblGrid>
        <w:gridCol w:w="2240"/>
        <w:gridCol w:w="935"/>
        <w:gridCol w:w="60"/>
        <w:gridCol w:w="152"/>
        <w:gridCol w:w="723"/>
        <w:gridCol w:w="60"/>
        <w:gridCol w:w="60"/>
        <w:gridCol w:w="162"/>
        <w:gridCol w:w="338"/>
        <w:gridCol w:w="60"/>
        <w:gridCol w:w="60"/>
        <w:gridCol w:w="168"/>
        <w:gridCol w:w="392"/>
        <w:gridCol w:w="80"/>
        <w:gridCol w:w="60"/>
        <w:gridCol w:w="163"/>
        <w:gridCol w:w="771"/>
        <w:gridCol w:w="60"/>
      </w:tblGrid>
      <w:tr>
        <w:trPr/>
        <w:tc>
          <w:tcPr>
            <w:tcW w:w="2240" w:type="dxa"/>
            <w:tcBorders/>
            <w:shd w:fill="FFFFFF" w:val="clear"/>
            <w:vAlign w:val="center"/>
          </w:tcPr>
          <w:p>
            <w:pPr>
              <w:pStyle w:val="TableContents"/>
              <w:bidi w:val="0"/>
              <w:spacing w:before="0" w:after="0"/>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0"/>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June 30, 2026</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0"/>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17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34,030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shd w:fill="FFFFFF" w:val="clear"/>
            <w:vAlign w:val="center"/>
          </w:tcPr>
          <w:p>
            <w:pPr>
              <w:pStyle w:val="TableContents"/>
              <w:bidi w:val="0"/>
              <w:spacing w:before="0" w:after="0"/>
              <w:ind w:left="0" w:right="0" w:hanging="0"/>
              <w:jc w:val="left"/>
              <w:rPr/>
            </w:pPr>
            <w:r>
              <w:rPr/>
              <w:t> </w:t>
            </w:r>
          </w:p>
        </w:tc>
        <w:tc>
          <w:tcPr>
            <w:tcW w:w="3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39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33,997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shd w:fill="CCEEFF" w:val="clear"/>
            <w:vAlign w:val="center"/>
          </w:tcPr>
          <w:p>
            <w:pPr>
              <w:pStyle w:val="TableContents"/>
              <w:bidi w:val="0"/>
              <w:spacing w:before="0" w:after="0"/>
              <w:ind w:left="0" w:right="0" w:hanging="0"/>
              <w:jc w:val="left"/>
              <w:rPr/>
            </w:pPr>
            <w:r>
              <w:rPr/>
              <w:t> </w:t>
            </w:r>
          </w:p>
        </w:tc>
        <w:tc>
          <w:tcPr>
            <w:tcW w:w="3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p>
        </w:tc>
        <w:tc>
          <w:tcPr>
            <w:tcW w:w="39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6,408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Paper</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16,970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9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16,961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17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86,753</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548" w:type="dxa"/>
        <w:jc w:val="left"/>
        <w:tblInd w:w="0" w:type="dxa"/>
        <w:tblLayout w:type="fixed"/>
        <w:tblCellMar>
          <w:top w:w="0" w:type="dxa"/>
          <w:left w:w="0" w:type="dxa"/>
          <w:bottom w:w="0" w:type="dxa"/>
          <w:right w:w="0" w:type="dxa"/>
        </w:tblCellMar>
      </w:tblPr>
      <w:tblGrid>
        <w:gridCol w:w="2240"/>
        <w:gridCol w:w="935"/>
        <w:gridCol w:w="60"/>
        <w:gridCol w:w="152"/>
        <w:gridCol w:w="723"/>
        <w:gridCol w:w="60"/>
        <w:gridCol w:w="60"/>
        <w:gridCol w:w="162"/>
        <w:gridCol w:w="338"/>
        <w:gridCol w:w="62"/>
        <w:gridCol w:w="62"/>
        <w:gridCol w:w="181"/>
        <w:gridCol w:w="379"/>
        <w:gridCol w:w="80"/>
        <w:gridCol w:w="60"/>
        <w:gridCol w:w="163"/>
        <w:gridCol w:w="771"/>
        <w:gridCol w:w="60"/>
      </w:tblGrid>
      <w:tr>
        <w:trPr/>
        <w:tc>
          <w:tcPr>
            <w:tcW w:w="2240" w:type="dxa"/>
            <w:tcBorders/>
            <w:shd w:fill="FFFFFF" w:val="clear"/>
            <w:vAlign w:val="center"/>
          </w:tcPr>
          <w:p>
            <w:pPr>
              <w:pStyle w:val="TableContents"/>
              <w:bidi w:val="0"/>
              <w:spacing w:before="0" w:after="0"/>
              <w:ind w:left="0" w:right="0" w:hanging="0"/>
              <w:jc w:val="left"/>
              <w:rPr/>
            </w:pPr>
            <w:r>
              <w:rPr/>
              <w:t> </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w:t>
            </w:r>
          </w:p>
        </w:tc>
        <w:tc>
          <w:tcPr>
            <w:tcW w:w="60" w:type="dxa"/>
            <w:tcBorders/>
            <w:shd w:fill="FFFFFF" w:val="clear"/>
            <w:vAlign w:val="center"/>
          </w:tcPr>
          <w:p>
            <w:pPr>
              <w:pStyle w:val="TableContents"/>
              <w:bidi w:val="0"/>
              <w:spacing w:before="0" w:after="0"/>
              <w:ind w:left="0" w:right="0" w:hanging="0"/>
              <w:jc w:val="left"/>
              <w:rPr/>
            </w:pPr>
            <w:r>
              <w:rPr/>
              <w:t> </w:t>
            </w:r>
          </w:p>
        </w:tc>
        <w:tc>
          <w:tcPr>
            <w:tcW w:w="8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Amortized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Unrealized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Estimated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December 31, 2025</w:t>
            </w:r>
          </w:p>
        </w:tc>
        <w:tc>
          <w:tcPr>
            <w:tcW w:w="9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(in years)</w:t>
            </w:r>
          </w:p>
        </w:tc>
        <w:tc>
          <w:tcPr>
            <w:tcW w:w="60" w:type="dxa"/>
            <w:tcBorders/>
            <w:shd w:fill="FFFFFF" w:val="clear"/>
            <w:vAlign w:val="center"/>
          </w:tcPr>
          <w:p>
            <w:pPr>
              <w:pStyle w:val="TableContents"/>
              <w:bidi w:val="0"/>
              <w:spacing w:before="0" w:after="0"/>
              <w:ind w:left="0" w:right="0" w:hanging="0"/>
              <w:jc w:val="left"/>
              <w:rPr/>
            </w:pPr>
            <w:r>
              <w:rPr/>
              <w:t> </w:t>
            </w:r>
          </w:p>
        </w:tc>
        <w:tc>
          <w:tcPr>
            <w:tcW w:w="8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Cost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Gains</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5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Fair Value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17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23,770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U.S. Government Securities</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72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shd w:fill="FFFFFF" w:val="clear"/>
            <w:vAlign w:val="center"/>
          </w:tcPr>
          <w:p>
            <w:pPr>
              <w:pStyle w:val="TableContents"/>
              <w:bidi w:val="0"/>
              <w:spacing w:before="0" w:after="0"/>
              <w:ind w:left="0" w:right="0" w:hanging="0"/>
              <w:jc w:val="left"/>
              <w:rPr/>
            </w:pPr>
            <w:r>
              <w:rPr/>
              <w:t> </w:t>
            </w:r>
          </w:p>
        </w:tc>
        <w:tc>
          <w:tcPr>
            <w:tcW w:w="33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p>
        </w:tc>
        <w:tc>
          <w:tcPr>
            <w:tcW w:w="37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77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42,776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Corporate Bonds</w:t>
            </w:r>
          </w:p>
        </w:tc>
        <w:tc>
          <w:tcPr>
            <w:tcW w:w="935"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sz w:val="20"/>
              </w:rPr>
              <w:t>Less than 1</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shd w:fill="CCEEFF" w:val="clear"/>
            <w:vAlign w:val="center"/>
          </w:tcPr>
          <w:p>
            <w:pPr>
              <w:pStyle w:val="TableContents"/>
              <w:bidi w:val="0"/>
              <w:spacing w:before="0" w:after="0"/>
              <w:ind w:left="0" w:right="0" w:hanging="0"/>
              <w:jc w:val="left"/>
              <w:rPr/>
            </w:pPr>
            <w:r>
              <w:rPr/>
              <w:t> </w:t>
            </w:r>
          </w:p>
        </w:tc>
        <w:tc>
          <w:tcPr>
            <w:tcW w:w="33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77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6,865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Commercial Paper</w:t>
            </w:r>
          </w:p>
        </w:tc>
        <w:tc>
          <w:tcPr>
            <w:tcW w:w="935"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Less than 1</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62"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3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18,252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175" w:type="dxa"/>
            <w:gridSpan w:val="2"/>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3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91,663</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Concentration of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sz w:val="20"/>
        </w:rPr>
        <w:t xml:space="preserve">Financial instruments, which potentially subject the Company to concentrations of credit risk, principally consist of cash and cash equivalents, marketable securities, and accounts receivable, net. The Company’s cash and cash equivalents and restricted cash in excess of the Federal Deposit Insurance Corporation and the Securities Investor Protection Corporation insured </w:t>
      </w:r>
      <w:r>
        <w:rPr>
          <w:rFonts w:ascii="Times New Roman" w:hAnsi="Times New Roman"/>
          <w:sz w:val="20"/>
          <w:shd w:fill="FFFFFF" w:val="clear"/>
        </w:rPr>
        <w:t>limits at </w:t>
      </w:r>
      <w:r>
        <w:rPr>
          <w:rStyle w:val="Emphasis"/>
          <w:rFonts w:ascii="Times New Roman" w:hAnsi="Times New Roman"/>
          <w:sz w:val="20"/>
        </w:rPr>
        <w:t xml:space="preserve"> June 30, 2026</w:t>
      </w:r>
      <w:r>
        <w:rPr>
          <w:rFonts w:ascii="Times New Roman" w:hAnsi="Times New Roman"/>
          <w:sz w:val="20"/>
        </w:rPr>
        <w:t> </w:t>
      </w:r>
      <w:r>
        <w:rPr>
          <w:rFonts w:ascii="Times New Roman" w:hAnsi="Times New Roman"/>
          <w:sz w:val="20"/>
          <w:shd w:fill="FFFFFF" w:val="clear"/>
        </w:rPr>
        <w:t>were approxi</w:t>
      </w:r>
      <w:r>
        <w:rPr>
          <w:rFonts w:ascii="Times New Roman" w:hAnsi="Times New Roman"/>
          <w:sz w:val="20"/>
        </w:rPr>
        <w:t>mately $35.3 million. Th</w:t>
      </w:r>
      <w:r>
        <w:rPr>
          <w:rFonts w:ascii="Times New Roman" w:hAnsi="Times New Roman"/>
          <w:sz w:val="20"/>
          <w:shd w:fill="FFFFFF" w:val="clear"/>
        </w:rPr>
        <w:t xml:space="preserve">e Company does </w:t>
      </w:r>
      <w:r>
        <w:rPr>
          <w:rStyle w:val="Emphasis"/>
          <w:rFonts w:ascii="Times New Roman" w:hAnsi="Times New Roman"/>
          <w:sz w:val="20"/>
          <w:shd w:fill="FFFFFF" w:val="clear"/>
        </w:rPr>
        <w:t>not</w:t>
      </w:r>
      <w:r>
        <w:rPr>
          <w:rFonts w:ascii="Times New Roman" w:hAnsi="Times New Roman"/>
          <w:sz w:val="20"/>
          <w:shd w:fill="FFFFFF" w:val="clear"/>
        </w:rPr>
        <w:t xml:space="preserve"> believe it is exposed to any significant credit risk due to the quality nature of the financial instruments in which the money is held. Pursuant to the Company’s internal investment policy, investments must be rated A-</w:t>
      </w:r>
      <w:r>
        <w:rPr>
          <w:rStyle w:val="Emphasis"/>
          <w:rFonts w:ascii="Times New Roman" w:hAnsi="Times New Roman"/>
          <w:sz w:val="20"/>
          <w:shd w:fill="FFFFFF" w:val="clear"/>
        </w:rPr>
        <w:t>1/P</w:t>
      </w:r>
      <w:r>
        <w:rPr>
          <w:rFonts w:ascii="Times New Roman" w:hAnsi="Times New Roman"/>
          <w:sz w:val="20"/>
          <w:shd w:fill="FFFFFF" w:val="clear"/>
        </w:rPr>
        <w:t>-</w:t>
      </w:r>
      <w:r>
        <w:rPr>
          <w:rStyle w:val="Emphasis"/>
          <w:rFonts w:ascii="Times New Roman" w:hAnsi="Times New Roman"/>
          <w:sz w:val="20"/>
          <w:shd w:fill="FFFFFF" w:val="clear"/>
        </w:rPr>
        <w:t>1</w:t>
      </w:r>
      <w:r>
        <w:rPr>
          <w:rFonts w:ascii="Times New Roman" w:hAnsi="Times New Roman"/>
          <w:sz w:val="20"/>
          <w:shd w:fill="FFFFFF" w:val="clear"/>
        </w:rPr>
        <w:t xml:space="preserve"> or better by Standard and Poor’s Rating Service and Moody’s Investors Service at the time of purchase.</w:t>
      </w:r>
      <w:r>
        <w:rPr>
          <w:rFonts w:ascii="Times New Roman" w:hAnsi="Times New Roman"/>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sells its products in the United States primarily through specialty pharmacies and specialty distributors. Therefore, wholesale distributors and large pharmacy chains account for a large portion of its accounts receivables, net and product revenues, net. The creditworthiness of its customers is continuously monitored, and the Company has internal policies regarding customer credit limits. The Company estimates an allowance for credit loss primarily based on the creditworthiness of its customers, historical payment patterns, aging of receivable balances and general economic conditions.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success depends on its ability to successfully commercialize NERLYNX. The Company currently has a single product and limited commercial sales experience, which makes it difficult to evaluate its current business, predict its future prospects and forecast financial performance and growth. The Company has invested a significant portion of its efforts and financial resources in the development and commercialization of the lead product, NERLYNX, and expects NERLYNX to constitute the vast majority of product revenue for the foreseeable future.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relies exclusively on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formulate and manufacture NERLYNX and its drug candidates. The commercialization of NERLYNX and any other drug candidates, if approved, could be stopped, delayed, or made less profitable if those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fail to provide sufficient quantities of product or fail to do so at acceptable quality levels or prices.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experience in drug formulation or manufacturing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to establish its own manufacturing facilities. The Company lacks the resources and expertise to formulate or manufacture NERLYNX and other drug candidates. While the drug candidates were developed by Pfizer, both the drug substance and drug product are manufactured by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The Company is using the same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to manufacture, supply, store and distribute drug supplies for clinical trials and the commercialization of NERLYNX. If the Company is unable to continue its relationships with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of these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contractors, it could experience delays in the development or commercialization efforts as it locates and qualifies new manufacturers. The Company intends to rely on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or more </w:t>
      </w:r>
      <w:r>
        <w:rPr>
          <w:rStyle w:val="Emphasis"/>
          <w:rFonts w:ascii="Times New Roman" w:hAnsi="Times New Roman"/>
          <w:caps w:val="false"/>
          <w:smallCaps w:val="false"/>
          <w:sz w:val="20"/>
        </w:rPr>
        <w:t>third</w:t>
      </w:r>
      <w:r>
        <w:rPr>
          <w:rFonts w:ascii="Times New Roman" w:hAnsi="Times New Roman"/>
          <w:caps w:val="false"/>
          <w:smallCaps w:val="false"/>
          <w:sz w:val="20"/>
        </w:rPr>
        <w:t>-party contractors to manufacture the commercial supply of drugs.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Inventory: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values its inventories at the lower of cost and estimated net realizable value. The Company determines the cost of its inventories, which includes amounts related to materials and manufacturing overhead,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-out basis and uses standard costing. The Company performs an assessment of the recoverability of capitalized inventory during each reporting period, and it writes down any excess and obsolete inventories to their estimated realizable value in the period in which the impairment is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identified. Such impairment charges, should they occur, are recorded within the cost of sales in the condensed consolidated statements of operations. The determination of whether inventory costs will be realizable requires estimates by management. If actual market conditions are less favorable than projected by management, additional write-downs of inventory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required, which would be recorded as a cost of sales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capitalizes inventory costs associated with the Company’s products after regulatory approval, if any, when, based on management’s judgment, future commercialization is considered probable, and the future economic benefit is expected to be realized. Inventory that can be used in either the production of clinical or commercial product is recorded as research and development expense when selected for use in a clinical trial. Starter kits, provided to patients prior to insurance approval, are expensed by the Company to selling, general and administrative expense as incurred. Of the total inventory amounts noted below, approxi</w:t>
      </w:r>
      <w:r>
        <w:rPr>
          <w:rFonts w:ascii="Times New Roman" w:hAnsi="Times New Roman"/>
          <w:caps w:val="false"/>
          <w:smallCaps w:val="false"/>
          <w:sz w:val="20"/>
          <w:shd w:fill="FFFFFF" w:val="clear"/>
        </w:rPr>
        <w:t>mately $13.2 million i</w:t>
      </w:r>
      <w:r>
        <w:rPr>
          <w:rFonts w:ascii="Times New Roman" w:hAnsi="Times New Roman"/>
          <w:caps w:val="false"/>
          <w:smallCaps w:val="false"/>
          <w:sz w:val="20"/>
        </w:rPr>
        <w:t>s located at contract manufacturing organizations in Europe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inventory balances are as follows: </w:t>
      </w:r>
    </w:p>
    <w:p>
      <w:pPr>
        <w:pStyle w:val="TextBody"/>
        <w:bidi w:val="0"/>
        <w:spacing w:before="0" w:after="0"/>
        <w:ind w:left="0" w:right="0" w:firstLine="820"/>
        <w:jc w:val="left"/>
        <w:rPr>
          <w:caps w:val="false"/>
          <w:smallCaps w:val="false"/>
        </w:rPr>
      </w:pPr>
      <w:r>
        <w:rPr>
          <w:caps w:val="false"/>
          <w:smallCaps w:val="false"/>
        </w:rPr>
        <w:t> </w:t>
      </w:r>
    </w:p>
    <w:tbl>
      <w:tblPr>
        <w:tblW w:w="4453" w:type="dxa"/>
        <w:jc w:val="left"/>
        <w:tblInd w:w="0" w:type="dxa"/>
        <w:tblLayout w:type="fixed"/>
        <w:tblCellMar>
          <w:top w:w="0" w:type="dxa"/>
          <w:left w:w="0" w:type="dxa"/>
          <w:bottom w:w="0" w:type="dxa"/>
          <w:right w:w="0" w:type="dxa"/>
        </w:tblCellMar>
      </w:tblPr>
      <w:tblGrid>
        <w:gridCol w:w="1415"/>
        <w:gridCol w:w="60"/>
        <w:gridCol w:w="208"/>
        <w:gridCol w:w="981"/>
        <w:gridCol w:w="60"/>
        <w:gridCol w:w="60"/>
        <w:gridCol w:w="329"/>
        <w:gridCol w:w="1280"/>
        <w:gridCol w:w="60"/>
      </w:tblGrid>
      <w:tr>
        <w:trPr/>
        <w:tc>
          <w:tcPr>
            <w:tcW w:w="14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Raw materials</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Work-in-process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4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Finished goods</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4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inventories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5,515</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Property and Equipment,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and amortization. Depreciation is computed using the straight-line method over the useful lives of the assets, which is generally three years for computer hardware and software, three years for phone equipment, and seven years for furniture and fixtures. Leasehold improvements are amortized using the straight-line method over the lesser of the useful life or the lease term. Upon retirement or sale, the cost of assets disposed of and the related accumulated depreciation are eliminated from the accounts and any resulting gain or loss is credited or charged to operations. Repairs and maintenance costs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reviews its long-lived assets used in operations for impairment whenever events or changes in circumstances indicate that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as required by ASC Topic </w:t>
      </w:r>
      <w:r>
        <w:rPr>
          <w:rStyle w:val="Emphasis"/>
          <w:rFonts w:ascii="Times New Roman" w:hAnsi="Times New Roman"/>
          <w:caps w:val="false"/>
          <w:smallCaps w:val="false"/>
          <w:sz w:val="20"/>
        </w:rPr>
        <w:t>360,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Property, Plant, and Equipment </w:t>
      </w:r>
      <w:r>
        <w:rPr>
          <w:rFonts w:ascii="Times New Roman" w:hAnsi="Times New Roman"/>
          <w:caps w:val="false"/>
          <w:smallCaps w:val="false"/>
          <w:sz w:val="20"/>
        </w:rPr>
        <w:t xml:space="preserve">(“ASC </w:t>
      </w:r>
      <w:r>
        <w:rPr>
          <w:rStyle w:val="Emphasis"/>
          <w:rFonts w:ascii="Times New Roman" w:hAnsi="Times New Roman"/>
          <w:caps w:val="false"/>
          <w:smallCaps w:val="false"/>
          <w:sz w:val="20"/>
        </w:rPr>
        <w:t>360”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xml:space="preserve"> The Company performs a recoverability test by comparing the sum of the estimated undiscounted cash flows over the life of the asset to its carrying value on the consolidated balance sheet. If the undiscounted cash flows used in the recoverability test are less than the carrying value, the Company would then determine the fair value of the long-lived asset and recognize an impairment loss for the amount in excess of the carrying value. No impairments were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Leases: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ASC Topic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Leases </w:t>
      </w:r>
      <w:r>
        <w:rPr>
          <w:rFonts w:ascii="Times New Roman" w:hAnsi="Times New Roman"/>
          <w:caps w:val="false"/>
          <w:smallCaps w:val="false"/>
          <w:sz w:val="20"/>
        </w:rPr>
        <w:t>requires lessees to recognize most leases on the balance sheet with a corresponding right-of-use asset (“ROU asset”). ROU assets</w:t>
      </w:r>
      <w:r>
        <w:rPr>
          <w:rFonts w:ascii="Times New Roman" w:hAnsi="Times New Roman"/>
          <w:caps w:val="false"/>
          <w:smallCaps w:val="false"/>
          <w:sz w:val="20"/>
          <w:shd w:fill="FFFFFF" w:val="clear"/>
        </w:rPr>
        <w:t xml:space="preserve"> represent the Company’s right to use an underlying asset for the lease term and lease liabilities represent the Company’s obligation to make lease payments arising from the lease. The assets and lease liabilities are recognized at the lease commencement date based on the estimated present value of fixed lease payments over the lease term. ROU assets are evaluated for impairment using the long-lived assets impairment guidance, as required by ASC </w:t>
      </w:r>
      <w:r>
        <w:rPr>
          <w:rStyle w:val="Emphasis"/>
          <w:rFonts w:ascii="Times New Roman" w:hAnsi="Times New Roman"/>
          <w:caps w:val="false"/>
          <w:smallCaps w:val="false"/>
          <w:sz w:val="20"/>
          <w:shd w:fill="FFFFFF" w:val="clear"/>
        </w:rPr>
        <w:t>360</w:t>
      </w:r>
      <w:r>
        <w:rPr>
          <w:rFonts w:ascii="Times New Roman" w:hAnsi="Times New Roman"/>
          <w:i/>
          <w:caps w:val="false"/>
          <w:smallCaps w:val="false"/>
          <w:sz w:val="20"/>
          <w:shd w:fill="FFFFFF" w:val="clear"/>
        </w:rPr>
        <w:t>.</w:t>
      </w:r>
      <w:r>
        <w:rPr>
          <w:rFonts w:ascii="Times New Roman" w:hAnsi="Times New Roman"/>
          <w:caps w:val="false"/>
          <w:smallCaps w:val="false"/>
          <w:sz w:val="20"/>
          <w:shd w:fill="FFFFFF" w:val="clear"/>
        </w:rPr>
        <w:t xml:space="preserve"> A significant indication of impairment of an ROU asset would include a change in the extent or manner in which the asset is being used. The Company must make assumptions that underlie the most significant and subjective estimates in determining whether any impairment exists. Those estimates, and the underlying assumptions, include estimates of future cash flow utilizing market lease rates and determination of fair value. If an ROU asset related to an operating lease is impaired, the carrying value of the ROU asset post-impairment should be amortized on a straight-line basis through the earlier of the end of the useful life of the ROU asset or the end of the lease term. Post impairment, a lessee must calculate the amortization of the ROU asset and interest expense on the lease liability separately, although the sum of the </w:t>
      </w:r>
      <w:r>
        <w:rPr>
          <w:rStyle w:val="Emphasis"/>
          <w:rFonts w:ascii="Times New Roman" w:hAnsi="Times New Roman"/>
          <w:caps w:val="false"/>
          <w:smallCaps w:val="false"/>
          <w:sz w:val="20"/>
          <w:shd w:fill="FFFFFF" w:val="clear"/>
        </w:rPr>
        <w:t>two</w:t>
      </w:r>
      <w:r>
        <w:rPr>
          <w:rFonts w:ascii="Times New Roman" w:hAnsi="Times New Roman"/>
          <w:caps w:val="false"/>
          <w:smallCaps w:val="false"/>
          <w:sz w:val="20"/>
          <w:shd w:fill="FFFFFF" w:val="clear"/>
        </w:rPr>
        <w:t xml:space="preserve"> continues to be presented as a single lease cost. If a lease is planned to be abandoned with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intention of subleasing, the ROU asset should be assessed for impairment.</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Leases are classified as financing or operating, which will drive the expense recognition pattern. The Company elects to exclude short-term leases if and when the Company has them. For additional information, see Note </w:t>
      </w:r>
      <w:r>
        <w:rPr>
          <w:rStyle w:val="Emphasis"/>
          <w:rFonts w:ascii="Times New Roman" w:hAnsi="Times New Roman"/>
          <w:caps w:val="false"/>
          <w:smallCaps w:val="false"/>
          <w:sz w:val="20"/>
        </w:rPr>
        <w:t>5—Leases.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leases office space and copy machines, all of which are operating leases. Most leases include the option to renew, and the exercise of the renewal options is at the Company’s sole discretion. Options to extend or terminate a lease are considered in the lease term to the extent that the option is reasonably certain of exercise. The leases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options to purchase the leased property. The depreciable life of assets and leasehold improvements is limited by the expected lease term. Covenants imposed by the leases include letters of credit required to be obtained by the lessee.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is required to remeasure the lease liability and make an adjustment in the following instances:</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196"/>
        <w:gridCol w:w="9848"/>
      </w:tblGrid>
      <w:tr>
        <w:trPr/>
        <w:tc>
          <w:tcPr>
            <w:tcW w:w="1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8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term of the lease has been modified or there has been a change in the Company’s assessment of a purchase option being exercised, in which case the lease liability is remeasured by discounting the revised lease payments using a revised discount rate;</w:t>
            </w:r>
          </w:p>
        </w:tc>
      </w:tr>
    </w:tbl>
    <w:p>
      <w:pPr>
        <w:pStyle w:val="TextBody"/>
        <w:bidi w:val="0"/>
        <w:spacing w:before="0" w:after="0"/>
        <w:ind w:left="540" w:right="0" w:firstLine="18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196"/>
        <w:gridCol w:w="9848"/>
      </w:tblGrid>
      <w:tr>
        <w:trPr/>
        <w:tc>
          <w:tcPr>
            <w:tcW w:w="1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848"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a lease contract is modified, and the lease modification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accounted for as a separate lease, in which case the lease liability is remeasured by discounting the revised lease payments using a revised discount rate; and</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96"/>
        <w:gridCol w:w="9848"/>
      </w:tblGrid>
      <w:tr>
        <w:trPr/>
        <w:tc>
          <w:tcPr>
            <w:tcW w:w="161"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left"/>
              <w:rPr/>
            </w:pPr>
            <w:r>
              <w:rPr/>
              <w:t>•</w:t>
            </w:r>
          </w:p>
        </w:tc>
        <w:tc>
          <w:tcPr>
            <w:tcW w:w="98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lease payments are adjusted due to changes in the index or a change in expected payment under a guaranteed residual value, in which cases the lease liability is remeasured by discounting the revised lease payments using the initial discount 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incremental borrowing rate (“IBR”) represents the rate of interest the Company would expect to pay on a collateralized basis to borrow an amount equal to the lease payments under similar terms. As the implicit rate on the Company’s leases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readily determinable, the Company uses its IBR based on the information available at the commencement date in determining the present value of lease payments. The Company’s average IBR for existing lea</w:t>
      </w:r>
      <w:r>
        <w:rPr>
          <w:rFonts w:ascii="Times New Roman" w:hAnsi="Times New Roman"/>
          <w:caps w:val="false"/>
          <w:smallCaps w:val="false"/>
          <w:sz w:val="20"/>
          <w:shd w:fill="FFFFFF" w:val="clear"/>
        </w:rPr>
        <w:t>ses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t>
      </w:r>
      <w:r>
        <w:rPr>
          <w:rFonts w:ascii="Times New Roman" w:hAnsi="Times New Roman"/>
          <w:caps w:val="false"/>
          <w:smallCaps w:val="false"/>
          <w:sz w:val="20"/>
          <w:shd w:fill="FFFFFF" w:val="clear"/>
        </w:rPr>
        <w:t>is </w:t>
      </w:r>
      <w:r>
        <w:rPr>
          <w:rFonts w:ascii="Times New Roman" w:hAnsi="Times New Roman"/>
          <w:caps w:val="false"/>
          <w:smallCaps w:val="false"/>
          <w:sz w:val="20"/>
        </w:rPr>
        <w:t>12.4%</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License Fees and Intangible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expenses amounts paid to acquire licenses associated with products under development when the ultimate recoverability of the amounts paid is uncertain and the technology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alternative future use when acquired. Acquisitions of technology licenses are charged to expense or capitalized based upon the asset achieving technological feasibility in accordance with management’s assessment regarding the ultimate recoverability of the amounts paid and the potential for alternative future use. The Company has determined that technological feasibility for its drug candidates is reached when the requisite regulatory approvals are obtained to make the product available for sale. The Company capitalizes technology licenses upon reaching technological feasibility.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maintains definite-lived intangible assets related to the license agreement with Pfizer. These assets are amortized over their remaining useful lives, which are estimated based on the shorter of the remaining patent life or the estimated useful life of the underlying product. Intangible assets are amortized using the economic consumption method if anticipated future revenues can be reasonably estimated. The straight-line method is used when future revenues cannot be reasonably estimated. Amortization costs are recorded as part of cost of sales.</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assesses its intangible assets for impairment if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exist. Events that could result in an impairment, or trigger an interim impairment assessment, include the receipt of additional clinical or non-clinical data regarding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 Company’s drug candidates or a potentially competitive drug candidate, changes in the clinical development program for a drug candidate, or new information regarding potential sales of the drug. If impairment indicators are present or changes in circumstance suggest that impairment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exist, the Company performs a recoverability test by comparing the sum of the estimated undiscounted cash flows of each asset to its carrying value on the consolidated balance sheet. If the undiscounted cash flows used in the recoverability test are less than the carrying value, the Company would determine the fair value of the intangible asset and recognize an impairment loss if the carrying value of the intangible asset exceeds its fair value.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Recently Issued Accounting Standar</w:t>
      </w:r>
      <w:r>
        <w:rPr>
          <w:rFonts w:ascii="Times New Roman" w:hAnsi="Times New Roman"/>
          <w:b/>
          <w:caps w:val="false"/>
          <w:smallCaps w:val="false"/>
          <w:sz w:val="20"/>
          <w:shd w:fill="FFFFFF" w:val="clear"/>
        </w:rPr>
        <w:t>ds: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w:t>
      </w:r>
      <w:r>
        <w:rPr>
          <w:rFonts w:ascii="Times New Roman" w:hAnsi="Times New Roman"/>
          <w:i/>
          <w:caps w:val="false"/>
          <w:smallCaps w:val="false"/>
          <w:sz w:val="20"/>
        </w:rPr>
        <w:t>Income Statement-Reporting Comprehensive Income-Expense Disaggregation Disclosures</w:t>
      </w:r>
      <w:r>
        <w:rPr>
          <w:rFonts w:ascii="Times New Roman" w:hAnsi="Times New Roman"/>
          <w:caps w:val="false"/>
          <w:smallCaps w:val="false"/>
          <w:sz w:val="20"/>
        </w:rPr>
        <w:t xml:space="preserve">: The ASU requires more detailed information about specified categories of expenses included in certain expense captions presented on the face of the income statement. This ASU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for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is permitted. The amendments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applied either (</w:t>
      </w:r>
      <w:r>
        <w:rPr>
          <w:rStyle w:val="Emphasis"/>
          <w:rFonts w:ascii="Times New Roman" w:hAnsi="Times New Roman"/>
          <w:caps w:val="false"/>
          <w:smallCaps w:val="false"/>
          <w:sz w:val="20"/>
        </w:rPr>
        <w:t>1</w:t>
      </w:r>
      <w:r>
        <w:rPr>
          <w:rFonts w:ascii="Times New Roman" w:hAnsi="Times New Roman"/>
          <w:caps w:val="false"/>
          <w:smallCaps w:val="false"/>
          <w:sz w:val="20"/>
        </w:rPr>
        <w:t>) prospectively to financial statements issued for reporting periods after the effective date of this ASU or (</w:t>
      </w:r>
      <w:r>
        <w:rPr>
          <w:rStyle w:val="Emphasis"/>
          <w:rFonts w:ascii="Times New Roman" w:hAnsi="Times New Roman"/>
          <w:caps w:val="false"/>
          <w:smallCaps w:val="false"/>
          <w:sz w:val="20"/>
        </w:rPr>
        <w:t>2</w:t>
      </w:r>
      <w:r>
        <w:rPr>
          <w:rFonts w:ascii="Times New Roman" w:hAnsi="Times New Roman"/>
          <w:caps w:val="false"/>
          <w:smallCaps w:val="false"/>
          <w:sz w:val="20"/>
        </w:rPr>
        <w:t>) retrospectively to all prior periods presented in the financial statements. The Company is currently evaluating the impact of adopting this ASU on its consolidated financial statements and related disclosures.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caps w:val="false"/>
          <w:smallCaps w:val="false"/>
          <w:sz w:val="20"/>
        </w:rPr>
        <w:t>—</w:t>
      </w:r>
      <w:r>
        <w:rPr>
          <w:rFonts w:ascii="Times New Roman" w:hAnsi="Times New Roman"/>
          <w:b/>
          <w:caps w:val="false"/>
          <w:smallCaps w:val="false"/>
          <w:sz w:val="20"/>
        </w:rPr>
        <w:t>Accounts Receivable,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Accounts receivable,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293" w:type="dxa"/>
        <w:jc w:val="left"/>
        <w:tblInd w:w="0" w:type="dxa"/>
        <w:tblLayout w:type="fixed"/>
        <w:tblCellMar>
          <w:top w:w="0" w:type="dxa"/>
          <w:left w:w="0" w:type="dxa"/>
          <w:bottom w:w="0" w:type="dxa"/>
          <w:right w:w="0" w:type="dxa"/>
        </w:tblCellMar>
      </w:tblPr>
      <w:tblGrid>
        <w:gridCol w:w="2255"/>
        <w:gridCol w:w="60"/>
        <w:gridCol w:w="208"/>
        <w:gridCol w:w="981"/>
        <w:gridCol w:w="60"/>
        <w:gridCol w:w="60"/>
        <w:gridCol w:w="280"/>
        <w:gridCol w:w="1329"/>
        <w:gridCol w:w="60"/>
      </w:tblGrid>
      <w:tr>
        <w:trPr/>
        <w:tc>
          <w:tcPr>
            <w:tcW w:w="22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Trade 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30,952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38,146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Royalty revenue receivable</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15,508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accounts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53,654</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Trade accounts receivable consist entirely of amounts owed from the Company’s customers related to product sales. Royalty revenue receivable represents amounts owed related to royalty revenue recognized based on the Company’s sub-licensees’ sales in their respective territories in the periods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For all accounts receivable, the Company recognizes credit losses based on lifetime expected losses to selling, general and </w:t>
      </w:r>
      <w:r>
        <w:rPr>
          <w:rFonts w:ascii="Times New Roman" w:hAnsi="Times New Roman"/>
          <w:caps w:val="false"/>
          <w:smallCaps w:val="false"/>
          <w:sz w:val="20"/>
        </w:rPr>
        <w:t>administrative expense in the condensed consolidated statements of operations. In determining estimated credit losses, the Company evaluates its historical loss rates, current economic conditions, and reasonable and supportable forecasts of future economic conditions</w:t>
      </w:r>
      <w:r>
        <w:rPr>
          <w:rFonts w:ascii="Times New Roman" w:hAnsi="Times New Roman"/>
          <w:caps w:val="false"/>
          <w:smallCaps w:val="false"/>
          <w:sz w:val="20"/>
          <w:shd w:fill="FFFFFF" w:val="clear"/>
        </w:rPr>
        <w:t xml:space="preserve">. The Company recorded a recovery to the provision for credit loss of $0.0 million and $0.3 million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respectively. The Company recorded a recovery to the provision of credit loss of </w:t>
      </w:r>
      <w:r>
        <w:rPr>
          <w:rStyle w:val="Emphasis"/>
          <w:rFonts w:ascii="Times New Roman" w:hAnsi="Times New Roman"/>
          <w:caps w:val="false"/>
          <w:smallCaps w:val="false"/>
          <w:sz w:val="20"/>
          <w:shd w:fill="FFFFFF" w:val="clear"/>
        </w:rPr>
        <w:t>$0.0</w:t>
      </w:r>
      <w:r>
        <w:rPr>
          <w:rFonts w:ascii="Times New Roman" w:hAnsi="Times New Roman"/>
          <w:caps w:val="false"/>
          <w:smallCaps w:val="false"/>
          <w:sz w:val="20"/>
          <w:shd w:fill="FFFFFF" w:val="clear"/>
        </w:rPr>
        <w:t xml:space="preserve"> million and $0.1 million for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respectively.</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caps w:val="false"/>
          <w:smallCaps w:val="false"/>
          <w:sz w:val="20"/>
        </w:rPr>
        <w:t>—</w:t>
      </w:r>
      <w:r>
        <w:rPr>
          <w:rFonts w:ascii="Times New Roman" w:hAnsi="Times New Roman"/>
          <w:b/>
          <w:caps w:val="false"/>
          <w:smallCaps w:val="false"/>
          <w:sz w:val="20"/>
        </w:rPr>
        <w:t>Prepaid Expenses and Other: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Prepaid expenses and other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278" w:type="dxa"/>
        <w:jc w:val="left"/>
        <w:tblInd w:w="0" w:type="dxa"/>
        <w:tblLayout w:type="fixed"/>
        <w:tblCellMar>
          <w:top w:w="0" w:type="dxa"/>
          <w:left w:w="0" w:type="dxa"/>
          <w:bottom w:w="0" w:type="dxa"/>
          <w:right w:w="0" w:type="dxa"/>
        </w:tblCellMar>
      </w:tblPr>
      <w:tblGrid>
        <w:gridCol w:w="2240"/>
        <w:gridCol w:w="60"/>
        <w:gridCol w:w="243"/>
        <w:gridCol w:w="946"/>
        <w:gridCol w:w="60"/>
        <w:gridCol w:w="60"/>
        <w:gridCol w:w="329"/>
        <w:gridCol w:w="1280"/>
        <w:gridCol w:w="60"/>
      </w:tblGrid>
      <w:tr>
        <w:trPr/>
        <w:tc>
          <w:tcPr>
            <w:tcW w:w="22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 </w:t>
            </w:r>
          </w:p>
        </w:tc>
        <w:tc>
          <w:tcPr>
            <w:tcW w:w="12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CRO services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Insurance</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 </w:t>
            </w:r>
          </w:p>
        </w:tc>
        <w:tc>
          <w:tcPr>
            <w:tcW w:w="12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Prepaid Taxes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 </w:t>
            </w:r>
          </w:p>
        </w:tc>
        <w:tc>
          <w:tcPr>
            <w:tcW w:w="12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CRO services</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Insurance</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shd w:fill="CCEEFF" w:val="clear"/>
            <w:vAlign w:val="center"/>
          </w:tcPr>
          <w:p>
            <w:pPr>
              <w:pStyle w:val="TableContents"/>
              <w:bidi w:val="0"/>
              <w:spacing w:before="0" w:after="0"/>
              <w:ind w:left="0" w:right="0" w:hanging="0"/>
              <w:jc w:val="left"/>
              <w:rPr/>
            </w:pPr>
            <w:r>
              <w:rPr/>
              <w:t> </w:t>
            </w:r>
          </w:p>
        </w:tc>
        <w:tc>
          <w:tcPr>
            <w:tcW w:w="12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clinical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shd w:fill="FFFFFF" w:val="clear"/>
            <w:vAlign w:val="center"/>
          </w:tcPr>
          <w:p>
            <w:pPr>
              <w:pStyle w:val="TableContents"/>
              <w:bidi w:val="0"/>
              <w:spacing w:before="0" w:after="0"/>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shd w:fill="FFFFFF" w:val="clear"/>
            <w:vAlign w:val="center"/>
          </w:tcPr>
          <w:p>
            <w:pPr>
              <w:pStyle w:val="TableContents"/>
              <w:bidi w:val="0"/>
              <w:spacing w:before="0" w:after="0"/>
              <w:ind w:left="0" w:right="0" w:hanging="0"/>
              <w:jc w:val="left"/>
              <w:rPr/>
            </w:pPr>
            <w:r>
              <w:rPr/>
              <w:t> </w:t>
            </w:r>
          </w:p>
        </w:tc>
        <w:tc>
          <w:tcPr>
            <w:tcW w:w="12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2,789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2,834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6,476</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Other current prepaid amounts consist primarily of deposits, signing bonuses, licenses, subscriptions and software. Other long-term prepaid amounts consist primarily of funding for commercial copay support programs.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caps w:val="false"/>
          <w:smallCaps w:val="false"/>
          <w:sz w:val="20"/>
        </w:rPr>
        <w:t>—</w:t>
      </w:r>
      <w:r>
        <w:rPr>
          <w:rFonts w:ascii="Times New Roman" w:hAnsi="Times New Roman"/>
          <w:b/>
          <w:caps w:val="false"/>
          <w:smallCaps w:val="false"/>
          <w:sz w:val="20"/>
        </w:rPr>
        <w:t>Leases: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2011, </w:t>
      </w:r>
      <w:r>
        <w:rPr>
          <w:rFonts w:ascii="Times New Roman" w:hAnsi="Times New Roman"/>
          <w:caps w:val="false"/>
          <w:smallCaps w:val="false"/>
          <w:sz w:val="20"/>
        </w:rPr>
        <w:t xml:space="preserve">the Company entered into a non-cancelable operating lease for office space in Los Angeles, California, which was subsequently amended in </w:t>
      </w:r>
      <w:r>
        <w:rPr>
          <w:rStyle w:val="Emphasis"/>
          <w:rFonts w:ascii="Times New Roman" w:hAnsi="Times New Roman"/>
          <w:caps w:val="false"/>
          <w:smallCaps w:val="false"/>
          <w:sz w:val="20"/>
        </w:rPr>
        <w:t xml:space="preserve">November 2012, December 2013, March 2014, July 2015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2017. </w:t>
      </w:r>
      <w:r>
        <w:rPr>
          <w:rFonts w:ascii="Times New Roman" w:hAnsi="Times New Roman"/>
          <w:caps w:val="false"/>
          <w:smallCaps w:val="false"/>
          <w:sz w:val="20"/>
        </w:rPr>
        <w:t xml:space="preserve">The initial term of the lease was for seven years and commenced on </w:t>
      </w:r>
      <w:r>
        <w:rPr>
          <w:rStyle w:val="Emphasis"/>
          <w:rFonts w:ascii="Times New Roman" w:hAnsi="Times New Roman"/>
          <w:caps w:val="false"/>
          <w:smallCaps w:val="false"/>
          <w:sz w:val="20"/>
        </w:rPr>
        <w:t xml:space="preserve">December 10, 2011. </w:t>
      </w:r>
      <w:r>
        <w:rPr>
          <w:rFonts w:ascii="Times New Roman" w:hAnsi="Times New Roman"/>
          <w:caps w:val="false"/>
          <w:smallCaps w:val="false"/>
          <w:sz w:val="20"/>
        </w:rPr>
        <w:t xml:space="preserve">Concurrent with the execution of the lease, the Company provided the landlord an automatically renewable stand-by letter of credit in the amount of $1.0 million. The stand-by letter of credit was collateralized by a high-yield savings account, which was classified as restricted cash, current, until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when the lease was amended to remove the stand-by letter of credit requirement. In </w:t>
      </w:r>
      <w:r>
        <w:rPr>
          <w:rStyle w:val="Emphasis"/>
          <w:rFonts w:ascii="Times New Roman" w:hAnsi="Times New Roman"/>
          <w:caps w:val="false"/>
          <w:smallCaps w:val="false"/>
          <w:sz w:val="20"/>
        </w:rPr>
        <w:t xml:space="preserve">July 2025, </w:t>
      </w:r>
      <w:r>
        <w:rPr>
          <w:rFonts w:ascii="Times New Roman" w:hAnsi="Times New Roman"/>
          <w:caps w:val="false"/>
          <w:smallCaps w:val="false"/>
          <w:sz w:val="20"/>
        </w:rPr>
        <w:t xml:space="preserve">the Company executed an amendment to its office space in Los Angeles, California to surrender certain suites effective </w:t>
      </w:r>
      <w:r>
        <w:rPr>
          <w:rStyle w:val="Emphasis"/>
          <w:rFonts w:ascii="Times New Roman" w:hAnsi="Times New Roman"/>
          <w:caps w:val="false"/>
          <w:smallCaps w:val="false"/>
          <w:sz w:val="20"/>
        </w:rPr>
        <w:t xml:space="preserve">March 31, 2026 </w:t>
      </w:r>
      <w:r>
        <w:rPr>
          <w:rFonts w:ascii="Times New Roman" w:hAnsi="Times New Roman"/>
          <w:caps w:val="false"/>
          <w:smallCaps w:val="false"/>
          <w:sz w:val="20"/>
        </w:rPr>
        <w:t xml:space="preserve">and extend the lease term for the remaining 26,700 rentable square feet for an additional five years and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months through </w:t>
      </w:r>
      <w:r>
        <w:rPr>
          <w:rStyle w:val="Emphasis"/>
          <w:rFonts w:ascii="Times New Roman" w:hAnsi="Times New Roman"/>
          <w:caps w:val="false"/>
          <w:smallCaps w:val="false"/>
          <w:sz w:val="20"/>
        </w:rPr>
        <w:t xml:space="preserve">August 31, 2031. </w:t>
      </w:r>
      <w:r>
        <w:rPr>
          <w:rFonts w:ascii="Times New Roman" w:hAnsi="Times New Roman"/>
          <w:caps w:val="false"/>
          <w:smallCaps w:val="false"/>
          <w:sz w:val="20"/>
        </w:rPr>
        <w:t xml:space="preserve">Base rent escalates annually and is abated from </w:t>
      </w:r>
      <w:r>
        <w:rPr>
          <w:rStyle w:val="Emphasis"/>
          <w:rFonts w:ascii="Times New Roman" w:hAnsi="Times New Roman"/>
          <w:caps w:val="false"/>
          <w:smallCaps w:val="false"/>
          <w:sz w:val="20"/>
        </w:rPr>
        <w:t xml:space="preserve">April 2026 </w:t>
      </w:r>
      <w:r>
        <w:rPr>
          <w:rFonts w:ascii="Times New Roman" w:hAnsi="Times New Roman"/>
          <w:caps w:val="false"/>
          <w:smallCaps w:val="false"/>
          <w:sz w:val="20"/>
        </w:rPr>
        <w:t xml:space="preserve">through </w:t>
      </w:r>
      <w:r>
        <w:rPr>
          <w:rStyle w:val="Emphasis"/>
          <w:rFonts w:ascii="Times New Roman" w:hAnsi="Times New Roman"/>
          <w:caps w:val="false"/>
          <w:smallCaps w:val="false"/>
          <w:sz w:val="20"/>
        </w:rPr>
        <w:t xml:space="preserve">August 2026. </w:t>
      </w:r>
      <w:r>
        <w:rPr>
          <w:rFonts w:ascii="Times New Roman" w:hAnsi="Times New Roman"/>
          <w:caps w:val="false"/>
          <w:smallCaps w:val="false"/>
          <w:sz w:val="20"/>
        </w:rPr>
        <w:t xml:space="preserve">Lease payments also include variable charges for the Company’s proportionate share of building operating expenses and real estate taxes based on a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base year. The Company has the option to renew such lease for an additional five year term. Management determined that the renewal option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reasonably certain to occur. </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2012, </w:t>
      </w:r>
      <w:r>
        <w:rPr>
          <w:rFonts w:ascii="Times New Roman" w:hAnsi="Times New Roman"/>
          <w:caps w:val="false"/>
          <w:smallCaps w:val="false"/>
          <w:sz w:val="20"/>
        </w:rPr>
        <w:t xml:space="preserve">the Company entered into a long-term lease agreement for office space in South San Francisco, California, which was subsequently amended in </w:t>
      </w:r>
      <w:r>
        <w:rPr>
          <w:rStyle w:val="Emphasis"/>
          <w:rFonts w:ascii="Times New Roman" w:hAnsi="Times New Roman"/>
          <w:caps w:val="false"/>
          <w:smallCaps w:val="false"/>
          <w:sz w:val="20"/>
        </w:rPr>
        <w:t xml:space="preserve">May 2014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July 2015. </w:t>
      </w:r>
      <w:r>
        <w:rPr>
          <w:rFonts w:ascii="Times New Roman" w:hAnsi="Times New Roman"/>
          <w:caps w:val="false"/>
          <w:smallCaps w:val="false"/>
          <w:sz w:val="20"/>
        </w:rPr>
        <w:t>As amended, the Company rented approximately 29,470 square feet.</w:t>
      </w:r>
      <w:r>
        <w:rPr>
          <w:rFonts w:ascii="Times New Roman" w:hAnsi="Times New Roman"/>
          <w:caps w:val="false"/>
          <w:smallCaps w:val="false"/>
          <w:sz w:val="20"/>
          <w:shd w:fill="FFFFFF" w:val="clear"/>
        </w:rPr>
        <w:t xml:space="preserve"> The term of this lease expired on </w:t>
      </w:r>
      <w:r>
        <w:rPr>
          <w:rStyle w:val="Emphasis"/>
          <w:rFonts w:ascii="Times New Roman" w:hAnsi="Times New Roman"/>
          <w:caps w:val="false"/>
          <w:smallCaps w:val="false"/>
          <w:sz w:val="20"/>
          <w:shd w:fill="FFFFFF" w:val="clear"/>
        </w:rPr>
        <w:t xml:space="preserve"> March 31, 2026.</w:t>
      </w:r>
      <w:r>
        <w:rPr>
          <w:rFonts w:ascii="Times New Roman" w:hAnsi="Times New Roman"/>
          <w:caps w:val="false"/>
          <w:smallCaps w:val="false"/>
          <w:sz w:val="20"/>
          <w:shd w:fill="FFFFFF" w:val="clear"/>
        </w:rPr>
        <w:t xml:space="preserve"> The Company provided the landlord an automatically renewable stand-by letter of credit in the amount of $1.1 million. The stand-by letter of credit was collateralized by a high-yield savings account, which was classified as restricted cash, current until </w:t>
      </w:r>
      <w:r>
        <w:rPr>
          <w:rStyle w:val="Emphasis"/>
          <w:rFonts w:ascii="Times New Roman" w:hAnsi="Times New Roman"/>
          <w:caps w:val="false"/>
          <w:smallCaps w:val="false"/>
          <w:sz w:val="20"/>
          <w:shd w:fill="FFFFFF" w:val="clear"/>
        </w:rPr>
        <w:t>60</w:t>
      </w:r>
      <w:r>
        <w:rPr>
          <w:rFonts w:ascii="Times New Roman" w:hAnsi="Times New Roman"/>
          <w:caps w:val="false"/>
          <w:smallCaps w:val="false"/>
          <w:sz w:val="20"/>
          <w:shd w:fill="FFFFFF" w:val="clear"/>
        </w:rPr>
        <w:t xml:space="preserve"> days after the expiration of the lease. The </w:t>
      </w:r>
      <w:r>
        <w:rPr>
          <w:rStyle w:val="Emphasis"/>
          <w:rFonts w:ascii="Times New Roman" w:hAnsi="Times New Roman"/>
          <w:caps w:val="false"/>
          <w:smallCaps w:val="false"/>
          <w:sz w:val="20"/>
          <w:shd w:fill="FFFFFF" w:val="clear"/>
        </w:rPr>
        <w:t>60</w:t>
      </w:r>
      <w:r>
        <w:rPr>
          <w:rFonts w:ascii="Times New Roman" w:hAnsi="Times New Roman"/>
          <w:caps w:val="false"/>
          <w:smallCaps w:val="false"/>
          <w:sz w:val="20"/>
          <w:shd w:fill="FFFFFF" w:val="clear"/>
        </w:rPr>
        <w:t xml:space="preserve">-day period lapsed, and the letter of credit was released during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Total rent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was approximately $0.3 million and $1.0 million, respectively. Total rent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approximately $1.4 million and $2.2 million, respectively. For </w:t>
      </w:r>
      <w:r>
        <w:rPr>
          <w:rFonts w:ascii="Times New Roman" w:hAnsi="Times New Roman"/>
          <w:caps w:val="false"/>
          <w:smallCaps w:val="false"/>
          <w:sz w:val="20"/>
          <w:shd w:fill="FFFFFF" w:val="clear"/>
        </w:rPr>
        <w:t xml:space="preserve">purposes of determining straight-line rent expense, the lease term is calculated from the date the Company </w:t>
      </w:r>
      <w:r>
        <w:rPr>
          <w:rStyle w:val="Emphasis"/>
          <w:rFonts w:ascii="Times New Roman" w:hAnsi="Times New Roman"/>
          <w:caps w:val="false"/>
          <w:smallCaps w:val="false"/>
          <w:sz w:val="20"/>
          <w:shd w:fill="FFFFFF" w:val="clear"/>
        </w:rPr>
        <w:t>first</w:t>
      </w:r>
      <w:r>
        <w:rPr>
          <w:rFonts w:ascii="Times New Roman" w:hAnsi="Times New Roman"/>
          <w:caps w:val="false"/>
          <w:smallCaps w:val="false"/>
          <w:sz w:val="20"/>
          <w:shd w:fill="FFFFFF" w:val="clear"/>
        </w:rPr>
        <w:t xml:space="preserve"> takes possession of the facility, including any periods of free rent and any renewal option periods that the Company is reasonably certain of exercising. The Company’s office leases generally have contractually specified minimum rent and annual rent increases that are included in the measureme</w:t>
      </w:r>
      <w:r>
        <w:rPr>
          <w:rFonts w:ascii="Times New Roman" w:hAnsi="Times New Roman"/>
          <w:caps w:val="false"/>
          <w:smallCaps w:val="false"/>
          <w:sz w:val="20"/>
        </w:rPr>
        <w:t xml:space="preserve">nt of the ROU asset and related lease liability. Additionally, under these lease arrangements,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pay directly, or reimburse the lessors, for real estate taxes, insurance, utilities, maintenance, and other operating costs. Such amounts are generally variable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in the measurement of the ROU asset and related lease liability but are instead recognized as variable lease expense in selling, general and administrative costs in the condensed consolidated statements of operations when they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8465" w:type="dxa"/>
        <w:jc w:val="left"/>
        <w:tblInd w:w="0" w:type="dxa"/>
        <w:tblLayout w:type="fixed"/>
        <w:tblCellMar>
          <w:top w:w="0" w:type="dxa"/>
          <w:left w:w="0" w:type="dxa"/>
          <w:bottom w:w="0" w:type="dxa"/>
          <w:right w:w="0" w:type="dxa"/>
        </w:tblCellMar>
      </w:tblPr>
      <w:tblGrid>
        <w:gridCol w:w="7595"/>
        <w:gridCol w:w="60"/>
        <w:gridCol w:w="125"/>
        <w:gridCol w:w="485"/>
        <w:gridCol w:w="200"/>
      </w:tblGrid>
      <w:tr>
        <w:trPr/>
        <w:tc>
          <w:tcPr>
            <w:tcW w:w="7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for the six months ended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Operating cash flows used for operating leases (in thousands)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1,646</w:t>
            </w:r>
          </w:p>
        </w:tc>
        <w:tc>
          <w:tcPr>
            <w:tcW w:w="200" w:type="dxa"/>
            <w:tcBorders/>
            <w:shd w:fill="CCEEFF" w:val="clear"/>
            <w:vAlign w:val="center"/>
          </w:tcPr>
          <w:p>
            <w:pPr>
              <w:pStyle w:val="TableContents"/>
              <w:bidi w:val="0"/>
              <w:spacing w:before="0" w:after="0"/>
              <w:ind w:left="0" w:right="0" w:hanging="0"/>
              <w:jc w:val="left"/>
              <w:rPr/>
            </w:pPr>
            <w:r>
              <w:rPr/>
              <w:t> </w:t>
            </w:r>
          </w:p>
        </w:tc>
      </w:tr>
      <w:tr>
        <w:trPr/>
        <w:tc>
          <w:tcPr>
            <w:tcW w:w="75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 (in years)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200" w:type="dxa"/>
            <w:tcBorders/>
            <w:shd w:fill="FFFFFF" w:val="clear"/>
            <w:vAlign w:val="center"/>
          </w:tcPr>
          <w:p>
            <w:pPr>
              <w:pStyle w:val="TableContents"/>
              <w:bidi w:val="0"/>
              <w:spacing w:before="0" w:after="0"/>
              <w:ind w:left="0" w:right="0" w:hanging="0"/>
              <w:jc w:val="left"/>
              <w:rPr/>
            </w:pPr>
            <w:r>
              <w:rPr/>
              <w:t> </w:t>
            </w:r>
          </w:p>
        </w:tc>
      </w:tr>
      <w:tr>
        <w:trPr/>
        <w:tc>
          <w:tcPr>
            <w:tcW w:w="75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discount rate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20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Future minimum lease payments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3375" w:type="dxa"/>
        <w:jc w:val="left"/>
        <w:tblInd w:w="0" w:type="dxa"/>
        <w:tblLayout w:type="fixed"/>
        <w:tblCellMar>
          <w:top w:w="0" w:type="dxa"/>
          <w:left w:w="0" w:type="dxa"/>
          <w:bottom w:w="0" w:type="dxa"/>
          <w:right w:w="0" w:type="dxa"/>
        </w:tblCellMar>
      </w:tblPr>
      <w:tblGrid>
        <w:gridCol w:w="2555"/>
        <w:gridCol w:w="60"/>
        <w:gridCol w:w="126"/>
        <w:gridCol w:w="554"/>
        <w:gridCol w:w="80"/>
      </w:tblGrid>
      <w:tr>
        <w:trPr/>
        <w:tc>
          <w:tcPr>
            <w:tcW w:w="25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2029</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2030</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2031</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minimum lease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5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4,817</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shd w:fill="FFFFFF" w:val="clear"/>
        </w:rPr>
        <w:t xml:space="preserve">During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 period ended </w:t>
      </w:r>
      <w:r>
        <w:rPr>
          <w:rStyle w:val="Emphasis"/>
          <w:rFonts w:ascii="Times New Roman;Times;serif" w:hAnsi="Times New Roman;Times;serif"/>
          <w:sz w:val="20"/>
          <w:shd w:fill="FFFFFF" w:val="clear"/>
        </w:rPr>
        <w:t xml:space="preserve"> March 31,</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2025,</w:t>
      </w:r>
      <w:r>
        <w:rPr>
          <w:rFonts w:ascii="Times New Roman;Times;serif" w:hAnsi="Times New Roman;Times;serif"/>
          <w:sz w:val="20"/>
          <w:shd w:fill="FFFFFF" w:val="clear"/>
        </w:rPr>
        <w:t xml:space="preserve"> the Company signed a sublease agreement for the 12,429 square feet of office space with a sublease commencement date of </w:t>
      </w:r>
      <w:r>
        <w:rPr>
          <w:rStyle w:val="Emphasis"/>
          <w:rFonts w:ascii="Times New Roman;Times;serif" w:hAnsi="Times New Roman;Times;serif"/>
          <w:sz w:val="20"/>
          <w:shd w:fill="FFFFFF" w:val="clear"/>
        </w:rPr>
        <w:t xml:space="preserve"> April 1, 2025. </w:t>
      </w:r>
      <w:r>
        <w:rPr>
          <w:rFonts w:ascii="Times New Roman;Times;serif" w:hAnsi="Times New Roman;Times;serif"/>
          <w:sz w:val="20"/>
          <w:shd w:fill="FFFFFF" w:val="clear"/>
        </w:rPr>
        <w:t xml:space="preserve">This sublease expired on </w:t>
      </w:r>
      <w:r>
        <w:rPr>
          <w:rStyle w:val="Emphasis"/>
          <w:rFonts w:ascii="Times New Roman;Times;serif" w:hAnsi="Times New Roman;Times;serif"/>
          <w:sz w:val="20"/>
          <w:shd w:fill="FFFFFF" w:val="clear"/>
        </w:rPr>
        <w:t>March 31, 2026.</w:t>
      </w:r>
      <w:r>
        <w:rPr>
          <w:rFonts w:ascii="Times New Roman;Times;serif" w:hAnsi="Times New Roman;Times;serif"/>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August 2023, </w:t>
      </w:r>
      <w:r>
        <w:rPr>
          <w:rFonts w:ascii="Times New Roman" w:hAnsi="Times New Roman"/>
          <w:caps w:val="false"/>
          <w:smallCaps w:val="false"/>
          <w:sz w:val="20"/>
          <w:shd w:fill="FFFFFF" w:val="clear"/>
        </w:rPr>
        <w:t xml:space="preserve">the Company entered into a long-term sublease agreement for 13,916 square feet of the office space in Los Angeles, California, which commenced in </w:t>
      </w:r>
      <w:r>
        <w:rPr>
          <w:rStyle w:val="Emphasis"/>
          <w:rFonts w:ascii="Times New Roman" w:hAnsi="Times New Roman"/>
          <w:caps w:val="false"/>
          <w:smallCaps w:val="false"/>
          <w:sz w:val="20"/>
          <w:shd w:fill="FFFFFF" w:val="clear"/>
        </w:rPr>
        <w:t xml:space="preserve">November 2023. </w:t>
      </w:r>
      <w:r>
        <w:rPr>
          <w:rFonts w:ascii="Times New Roman" w:hAnsi="Times New Roman"/>
          <w:caps w:val="false"/>
          <w:smallCaps w:val="false"/>
          <w:sz w:val="20"/>
          <w:shd w:fill="FFFFFF" w:val="clear"/>
        </w:rPr>
        <w:t xml:space="preserve">This sublease expired on </w:t>
      </w:r>
      <w:r>
        <w:rPr>
          <w:rStyle w:val="Emphasis"/>
          <w:rFonts w:ascii="Times New Roman" w:hAnsi="Times New Roman"/>
          <w:caps w:val="false"/>
          <w:smallCaps w:val="false"/>
          <w:sz w:val="20"/>
          <w:shd w:fill="FFFFFF" w:val="clear"/>
        </w:rPr>
        <w:t>March 31,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The Company recorded no operating sublease income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$0.2 million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2025, </w:t>
      </w:r>
      <w:r>
        <w:rPr>
          <w:rFonts w:ascii="Times New Roman" w:hAnsi="Times New Roman"/>
          <w:caps w:val="false"/>
          <w:smallCaps w:val="false"/>
          <w:sz w:val="20"/>
          <w:shd w:fill="FFFFFF" w:val="clear"/>
        </w:rPr>
        <w:t>and $0.2 million and $0.3 million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respectively, in other income (expenses) in the condensed consolidated statements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caps w:val="false"/>
          <w:smallCaps w:val="false"/>
          <w:sz w:val="20"/>
        </w:rPr>
        <w:t>—</w:t>
      </w:r>
      <w:r>
        <w:rPr>
          <w:rFonts w:ascii="Times New Roman" w:hAnsi="Times New Roman"/>
          <w:b/>
          <w:caps w:val="false"/>
          <w:smallCaps w:val="false"/>
          <w:sz w:val="20"/>
        </w:rPr>
        <w:t>Property and Equipment,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663" w:type="dxa"/>
        <w:jc w:val="left"/>
        <w:tblInd w:w="0" w:type="dxa"/>
        <w:tblLayout w:type="fixed"/>
        <w:tblCellMar>
          <w:top w:w="0" w:type="dxa"/>
          <w:left w:w="0" w:type="dxa"/>
          <w:bottom w:w="0" w:type="dxa"/>
          <w:right w:w="0" w:type="dxa"/>
        </w:tblCellMar>
      </w:tblPr>
      <w:tblGrid>
        <w:gridCol w:w="2585"/>
        <w:gridCol w:w="60"/>
        <w:gridCol w:w="222"/>
        <w:gridCol w:w="967"/>
        <w:gridCol w:w="80"/>
        <w:gridCol w:w="60"/>
        <w:gridCol w:w="299"/>
        <w:gridCol w:w="1310"/>
        <w:gridCol w:w="80"/>
      </w:tblGrid>
      <w:tr>
        <w:trPr/>
        <w:tc>
          <w:tcPr>
            <w:tcW w:w="25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Leasehold improvements</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Computer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Furniture and fixtures</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1,475</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property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9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shd w:fill="FFFFFF" w:val="clear"/>
            <w:vAlign w:val="center"/>
          </w:tcPr>
          <w:p>
            <w:pPr>
              <w:pStyle w:val="TableContents"/>
              <w:bidi w:val="0"/>
              <w:spacing w:before="0" w:after="0"/>
              <w:ind w:left="0" w:right="0" w:hanging="0"/>
              <w:jc w:val="left"/>
              <w:rPr/>
            </w:pPr>
            <w:r>
              <w:rPr/>
              <w:t> </w:t>
            </w:r>
          </w:p>
        </w:tc>
        <w:tc>
          <w:tcPr>
            <w:tcW w:w="13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1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the Company incurred nominal depreciation expense 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$0.1 million for the three months ended </w:t>
      </w:r>
      <w:r>
        <w:rPr>
          <w:rStyle w:val="Emphasis"/>
          <w:rFonts w:ascii="Times New Roman" w:hAnsi="Times New Roman"/>
          <w:caps w:val="false"/>
          <w:smallCaps w:val="false"/>
          <w:sz w:val="20"/>
          <w:shd w:fill="FFFFFF" w:val="clear"/>
        </w:rPr>
        <w:t xml:space="preserve">June 30, 2025. </w:t>
      </w:r>
      <w:r>
        <w:rPr>
          <w:rFonts w:ascii="Times New Roman" w:hAnsi="Times New Roman"/>
          <w:caps w:val="false"/>
          <w:smallCaps w:val="false"/>
          <w:sz w:val="20"/>
          <w:shd w:fill="FFFFFF" w:val="clear"/>
        </w:rPr>
        <w:t>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shd w:fill="FFFFFF" w:val="clear"/>
        </w:rPr>
        <w:t> 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the Company incurred depreciation expense of $0.1</w:t>
      </w:r>
      <w:r>
        <w:rPr>
          <w:rFonts w:ascii="Times New Roman" w:hAnsi="Times New Roman"/>
          <w:caps w:val="false"/>
          <w:smallCaps w:val="false"/>
          <w:sz w:val="20"/>
        </w:rPr>
        <w:t> </w:t>
      </w:r>
      <w:r>
        <w:rPr>
          <w:rFonts w:ascii="Times New Roman" w:hAnsi="Times New Roman"/>
          <w:caps w:val="false"/>
          <w:smallCaps w:val="false"/>
          <w:sz w:val="20"/>
          <w:shd w:fill="FFFFFF" w:val="clear"/>
        </w:rPr>
        <w:t>million and $0.2 million, respectively.</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caps w:val="false"/>
          <w:smallCaps w:val="false"/>
          <w:sz w:val="20"/>
        </w:rPr>
        <w:t>—</w:t>
      </w:r>
      <w:r>
        <w:rPr>
          <w:rFonts w:ascii="Times New Roman" w:hAnsi="Times New Roman"/>
          <w:b/>
          <w:caps w:val="false"/>
          <w:smallCaps w:val="false"/>
          <w:sz w:val="20"/>
        </w:rPr>
        <w:t>Intangible Assets,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678" w:type="dxa"/>
        <w:jc w:val="left"/>
        <w:tblInd w:w="0" w:type="dxa"/>
        <w:tblLayout w:type="fixed"/>
        <w:tblCellMar>
          <w:top w:w="0" w:type="dxa"/>
          <w:left w:w="0" w:type="dxa"/>
          <w:bottom w:w="0" w:type="dxa"/>
          <w:right w:w="0" w:type="dxa"/>
        </w:tblCellMar>
      </w:tblPr>
      <w:tblGrid>
        <w:gridCol w:w="2600"/>
        <w:gridCol w:w="60"/>
        <w:gridCol w:w="181"/>
        <w:gridCol w:w="1008"/>
        <w:gridCol w:w="80"/>
        <w:gridCol w:w="60"/>
        <w:gridCol w:w="243"/>
        <w:gridCol w:w="1366"/>
        <w:gridCol w:w="80"/>
      </w:tblGrid>
      <w:tr>
        <w:trPr/>
        <w:tc>
          <w:tcPr>
            <w:tcW w:w="26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and in-licensed rights</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102,500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(65,978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(61,108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36,522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41,392</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For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w:t>
      </w:r>
      <w:r>
        <w:rPr>
          <w:rFonts w:ascii="Times New Roman" w:hAnsi="Times New Roman"/>
          <w:caps w:val="false"/>
          <w:smallCaps w:val="false"/>
          <w:sz w:val="20"/>
        </w:rPr>
        <w:t xml:space="preserve"> the Company incurred amortization expe</w:t>
      </w:r>
      <w:r>
        <w:rPr>
          <w:rFonts w:ascii="Times New Roman" w:hAnsi="Times New Roman"/>
          <w:caps w:val="false"/>
          <w:smallCaps w:val="false"/>
          <w:sz w:val="20"/>
          <w:shd w:fill="FFFFFF" w:val="clear"/>
        </w:rPr>
        <w:t xml:space="preserve">nse of </w:t>
      </w:r>
      <w:r>
        <w:rPr>
          <w:rStyle w:val="Emphasis"/>
          <w:rFonts w:ascii="Times New Roman" w:hAnsi="Times New Roman"/>
          <w:caps w:val="false"/>
          <w:smallCaps w:val="false"/>
          <w:sz w:val="20"/>
          <w:shd w:fill="FFFFFF" w:val="clear"/>
        </w:rPr>
        <w:t>$2.4</w:t>
      </w:r>
      <w:r>
        <w:rPr>
          <w:rFonts w:ascii="Times New Roman" w:hAnsi="Times New Roman"/>
          <w:caps w:val="false"/>
          <w:smallCaps w:val="false"/>
          <w:sz w:val="20"/>
          <w:shd w:fill="FFFFFF" w:val="clear"/>
        </w:rPr>
        <w:t xml:space="preserve"> million in each period.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 xml:space="preserve">June 30, 2026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2025,</w:t>
      </w:r>
      <w:r>
        <w:rPr>
          <w:rFonts w:ascii="Times New Roman" w:hAnsi="Times New Roman"/>
          <w:caps w:val="false"/>
          <w:smallCaps w:val="false"/>
          <w:sz w:val="20"/>
          <w:shd w:fill="FFFFFF" w:val="clear"/>
        </w:rPr>
        <w:t xml:space="preserve"> the Company incurred amortization expense of </w:t>
      </w:r>
      <w:r>
        <w:rPr>
          <w:rFonts w:ascii="Times New Roman" w:hAnsi="Times New Roman"/>
          <w:caps w:val="false"/>
          <w:smallCaps w:val="false"/>
          <w:sz w:val="20"/>
        </w:rPr>
        <w:t>$4.9 </w:t>
      </w:r>
      <w:r>
        <w:rPr>
          <w:rFonts w:ascii="Times New Roman" w:hAnsi="Times New Roman"/>
          <w:caps w:val="false"/>
          <w:smallCaps w:val="false"/>
          <w:sz w:val="20"/>
          <w:shd w:fill="FFFFFF" w:val="clear"/>
        </w:rPr>
        <w:t>million in each period.</w:t>
      </w:r>
      <w:r>
        <w:rPr>
          <w:rFonts w:ascii="Times New Roman" w:hAnsi="Times New Roman"/>
          <w:caps w:val="false"/>
          <w:smallCaps w:val="false"/>
          <w:sz w:val="20"/>
        </w:rPr>
        <w:t> The estimated remaining useful life of the inta</w:t>
      </w:r>
      <w:r>
        <w:rPr>
          <w:rFonts w:ascii="Times New Roman" w:hAnsi="Times New Roman"/>
          <w:caps w:val="false"/>
          <w:smallCaps w:val="false"/>
          <w:sz w:val="20"/>
          <w:shd w:fill="FFFFFF" w:val="clear"/>
        </w:rPr>
        <w:t>ngible assets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t>
      </w:r>
      <w:r>
        <w:rPr>
          <w:rFonts w:ascii="Times New Roman" w:hAnsi="Times New Roman"/>
          <w:caps w:val="false"/>
          <w:smallCaps w:val="false"/>
          <w:sz w:val="20"/>
          <w:shd w:fill="FFFFFF" w:val="clear"/>
        </w:rPr>
        <w:t>is </w:t>
      </w:r>
      <w:r>
        <w:rPr>
          <w:rFonts w:ascii="Times New Roman" w:hAnsi="Times New Roman"/>
          <w:caps w:val="false"/>
          <w:smallCaps w:val="false"/>
          <w:sz w:val="20"/>
        </w:rPr>
        <w:t>3.8 </w:t>
      </w:r>
      <w:r>
        <w:rPr>
          <w:rFonts w:ascii="Times New Roman" w:hAnsi="Times New Roman"/>
          <w:caps w:val="false"/>
          <w:smallCaps w:val="false"/>
          <w:sz w:val="20"/>
          <w:shd w:fill="FFFFFF" w:val="clear"/>
        </w:rPr>
        <w:t>years.</w:t>
      </w:r>
      <w:r>
        <w:rPr>
          <w:rFonts w:ascii="Times New Roman" w:hAnsi="Times New Roman"/>
          <w:caps w:val="false"/>
          <w:smallCaps w:val="false"/>
          <w:sz w:val="20"/>
        </w:rPr>
        <w:t xml:space="preserve">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 estimated future amortization expense related to the Company’s intangible assets is approximately </w:t>
      </w:r>
      <w:r>
        <w:rPr>
          <w:rFonts w:ascii="Times New Roman" w:hAnsi="Times New Roman"/>
          <w:caps w:val="false"/>
          <w:smallCaps w:val="false"/>
          <w:sz w:val="20"/>
        </w:rPr>
        <w:t>$4.9 </w:t>
      </w:r>
      <w:r>
        <w:rPr>
          <w:rFonts w:ascii="Times New Roman" w:hAnsi="Times New Roman"/>
          <w:caps w:val="false"/>
          <w:smallCaps w:val="false"/>
          <w:sz w:val="20"/>
          <w:shd w:fill="FFFFFF" w:val="clear"/>
        </w:rPr>
        <w:t>million for the remainder of </w:t>
      </w:r>
      <w:r>
        <w:rPr>
          <w:rStyle w:val="Emphasis"/>
          <w:rFonts w:ascii="Times New Roman" w:hAnsi="Times New Roman"/>
          <w:caps w:val="false"/>
          <w:smallCaps w:val="false"/>
          <w:sz w:val="20"/>
        </w:rPr>
        <w:t>2026</w:t>
      </w:r>
      <w:r>
        <w:rPr>
          <w:rFonts w:ascii="Times New Roman" w:hAnsi="Times New Roman"/>
          <w:caps w:val="false"/>
          <w:smallCaps w:val="false"/>
          <w:sz w:val="20"/>
        </w:rPr>
        <w:t> </w:t>
      </w:r>
      <w:r>
        <w:rPr>
          <w:rFonts w:ascii="Times New Roman" w:hAnsi="Times New Roman"/>
          <w:caps w:val="false"/>
          <w:smallCaps w:val="false"/>
          <w:sz w:val="20"/>
          <w:shd w:fill="FFFFFF" w:val="clear"/>
        </w:rPr>
        <w:t>and </w:t>
      </w:r>
      <w:r>
        <w:rPr>
          <w:rFonts w:ascii="Times New Roman" w:hAnsi="Times New Roman"/>
          <w:caps w:val="false"/>
          <w:smallCaps w:val="false"/>
          <w:sz w:val="20"/>
        </w:rPr>
        <w:t>$9.7 </w:t>
      </w:r>
      <w:r>
        <w:rPr>
          <w:rFonts w:ascii="Times New Roman" w:hAnsi="Times New Roman"/>
          <w:caps w:val="false"/>
          <w:smallCaps w:val="false"/>
          <w:sz w:val="20"/>
          <w:shd w:fill="FFFFFF" w:val="clear"/>
        </w:rPr>
        <w:t xml:space="preserve">million for each year starting </w:t>
      </w:r>
      <w:r>
        <w:rPr>
          <w:rStyle w:val="Emphasis"/>
          <w:rFonts w:ascii="Times New Roman" w:hAnsi="Times New Roman"/>
          <w:caps w:val="false"/>
          <w:smallCaps w:val="false"/>
          <w:sz w:val="20"/>
          <w:shd w:fill="FFFFFF" w:val="clear"/>
        </w:rPr>
        <w:t>2027</w:t>
      </w:r>
      <w:r>
        <w:rPr>
          <w:rFonts w:ascii="Times New Roman" w:hAnsi="Times New Roman"/>
          <w:caps w:val="false"/>
          <w:smallCaps w:val="false"/>
          <w:sz w:val="20"/>
          <w:shd w:fill="FFFFFF" w:val="clear"/>
        </w:rPr>
        <w:t xml:space="preserve"> through </w:t>
      </w:r>
      <w:r>
        <w:rPr>
          <w:rStyle w:val="Emphasis"/>
          <w:rFonts w:ascii="Times New Roman" w:hAnsi="Times New Roman"/>
          <w:caps w:val="false"/>
          <w:smallCaps w:val="false"/>
          <w:sz w:val="20"/>
          <w:shd w:fill="FFFFFF" w:val="clear"/>
        </w:rPr>
        <w:t>2029,</w:t>
      </w:r>
      <w:r>
        <w:rPr>
          <w:rFonts w:ascii="Times New Roman" w:hAnsi="Times New Roman"/>
          <w:caps w:val="false"/>
          <w:smallCaps w:val="false"/>
          <w:sz w:val="20"/>
          <w:shd w:fill="FFFFFF" w:val="clear"/>
        </w:rPr>
        <w:t xml:space="preserve"> and </w:t>
      </w:r>
      <w:r>
        <w:rPr>
          <w:rFonts w:ascii="Times New Roman" w:hAnsi="Times New Roman"/>
          <w:caps w:val="false"/>
          <w:smallCaps w:val="false"/>
          <w:sz w:val="20"/>
        </w:rPr>
        <w:t>$2.4 </w:t>
      </w:r>
      <w:r>
        <w:rPr>
          <w:rFonts w:ascii="Times New Roman" w:hAnsi="Times New Roman"/>
          <w:caps w:val="false"/>
          <w:smallCaps w:val="false"/>
          <w:sz w:val="20"/>
          <w:shd w:fill="FFFFFF" w:val="clear"/>
        </w:rPr>
        <w:t xml:space="preserve">million for </w:t>
      </w:r>
      <w:r>
        <w:rPr>
          <w:rStyle w:val="Emphasis"/>
          <w:rFonts w:ascii="Times New Roman" w:hAnsi="Times New Roman"/>
          <w:caps w:val="false"/>
          <w:smallCaps w:val="false"/>
          <w:sz w:val="20"/>
          <w:shd w:fill="FFFFFF" w:val="clear"/>
        </w:rPr>
        <w:t>2030.</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caps w:val="false"/>
          <w:smallCaps w:val="false"/>
          <w:sz w:val="20"/>
        </w:rPr>
        <w:t>—</w:t>
      </w:r>
      <w:r>
        <w:rPr>
          <w:rFonts w:ascii="Times New Roman" w:hAnsi="Times New Roman"/>
          <w:b/>
          <w:caps w:val="false"/>
          <w:smallCaps w:val="false"/>
          <w:sz w:val="20"/>
        </w:rPr>
        <w:t>Accrued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5968" w:type="dxa"/>
        <w:jc w:val="left"/>
        <w:tblInd w:w="0" w:type="dxa"/>
        <w:tblLayout w:type="fixed"/>
        <w:tblCellMar>
          <w:top w:w="0" w:type="dxa"/>
          <w:left w:w="0" w:type="dxa"/>
          <w:bottom w:w="0" w:type="dxa"/>
          <w:right w:w="0" w:type="dxa"/>
        </w:tblCellMar>
      </w:tblPr>
      <w:tblGrid>
        <w:gridCol w:w="2930"/>
        <w:gridCol w:w="60"/>
        <w:gridCol w:w="208"/>
        <w:gridCol w:w="981"/>
        <w:gridCol w:w="60"/>
        <w:gridCol w:w="60"/>
        <w:gridCol w:w="280"/>
        <w:gridCol w:w="1329"/>
        <w:gridCol w:w="60"/>
      </w:tblGrid>
      <w:tr>
        <w:trPr/>
        <w:tc>
          <w:tcPr>
            <w:tcW w:w="293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 </w:t>
            </w:r>
          </w:p>
        </w:tc>
        <w:tc>
          <w:tcPr>
            <w:tcW w:w="132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royalties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15,858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CRO services</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6,968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3,793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variable consideration</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bonus</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8,377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other clinical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professional fees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legal fees</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shd w:fill="CCEEFF" w:val="clear"/>
            <w:vAlign w:val="center"/>
          </w:tcPr>
          <w:p>
            <w:pPr>
              <w:pStyle w:val="TableContents"/>
              <w:bidi w:val="0"/>
              <w:spacing w:before="0" w:after="0"/>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manufacturing costs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shd w:fill="FFFFFF" w:val="clear"/>
            <w:vAlign w:val="center"/>
          </w:tcPr>
          <w:p>
            <w:pPr>
              <w:pStyle w:val="TableContents"/>
              <w:bidi w:val="0"/>
              <w:spacing w:before="0" w:after="0"/>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Totals</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45,130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50,031</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Accrued variable consideration represents estimates of adjustments to product revenue, net for which reserves are established. Accrued royalties represent royalties incurred in connection with the Company’s license agreement with Pfizer. Accrued CRO services, accrued other clinical development expenses, and accrued legal fees represent the Company’s estimates of such costs and are recognized as incurred. Accrued compensation includes severance, commissions, and vacation.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sz w:val="20"/>
        </w:rPr>
        <w:t xml:space="preserve">Note </w:t>
      </w:r>
      <w:r>
        <w:rPr>
          <w:rStyle w:val="Emphasis"/>
          <w:rFonts w:ascii="Times New Roman" w:hAnsi="Times New Roman"/>
          <w:b/>
          <w:sz w:val="20"/>
        </w:rPr>
        <w:t>9</w:t>
      </w:r>
      <w:r>
        <w:rPr>
          <w:rFonts w:ascii="Times New Roman" w:hAnsi="Times New Roman"/>
          <w:sz w:val="20"/>
        </w:rPr>
        <w:t>—</w:t>
      </w:r>
      <w:r>
        <w:rPr>
          <w:rFonts w:ascii="Times New Roman" w:hAnsi="Times New Roman"/>
          <w:b/>
          <w:sz w:val="20"/>
        </w:rPr>
        <w:t>Debt:</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Long term debt consisted of the following (in thousands):</w:t>
      </w:r>
    </w:p>
    <w:p>
      <w:pPr>
        <w:pStyle w:val="TextBody"/>
        <w:bidi w:val="0"/>
        <w:spacing w:before="0" w:after="0"/>
        <w:ind w:left="0" w:right="0" w:hanging="0"/>
        <w:jc w:val="left"/>
        <w:rPr/>
      </w:pPr>
      <w:r>
        <w:rPr/>
        <w:t> </w:t>
      </w:r>
    </w:p>
    <w:tbl>
      <w:tblPr>
        <w:tblW w:w="6784" w:type="dxa"/>
        <w:jc w:val="left"/>
        <w:tblInd w:w="0" w:type="dxa"/>
        <w:tblLayout w:type="fixed"/>
        <w:tblCellMar>
          <w:top w:w="0" w:type="dxa"/>
          <w:left w:w="0" w:type="dxa"/>
          <w:bottom w:w="0" w:type="dxa"/>
          <w:right w:w="0" w:type="dxa"/>
        </w:tblCellMar>
      </w:tblPr>
      <w:tblGrid>
        <w:gridCol w:w="4265"/>
        <w:gridCol w:w="60"/>
        <w:gridCol w:w="169"/>
        <w:gridCol w:w="1020"/>
        <w:gridCol w:w="80"/>
        <w:gridCol w:w="1190"/>
      </w:tblGrid>
      <w:tr>
        <w:trPr/>
        <w:tc>
          <w:tcPr>
            <w:tcW w:w="42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11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Maturity Date</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debt, inclusive of $2.0 million exit payment</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102,000</w:t>
            </w:r>
          </w:p>
        </w:tc>
        <w:tc>
          <w:tcPr>
            <w:tcW w:w="80" w:type="dxa"/>
            <w:tcBorders/>
            <w:shd w:fill="CCEEFF" w:val="clear"/>
            <w:vAlign w:val="center"/>
          </w:tcPr>
          <w:p>
            <w:pPr>
              <w:pStyle w:val="TableContents"/>
              <w:bidi w:val="0"/>
              <w:spacing w:before="0" w:after="0"/>
              <w:ind w:left="0" w:right="0" w:hanging="0"/>
              <w:jc w:val="left"/>
              <w:rPr/>
            </w:pPr>
            <w:r>
              <w:rPr/>
              <w:t> </w:t>
            </w:r>
          </w:p>
        </w:tc>
        <w:tc>
          <w:tcPr>
            <w:tcW w:w="1190"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July 23, 2026</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unamortized debt issuance costs and discounts</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1190" w:type="dxa"/>
            <w:tcBorders/>
            <w:shd w:fill="FFFFFF" w:val="clear"/>
            <w:vAlign w:val="center"/>
          </w:tcPr>
          <w:p>
            <w:pPr>
              <w:pStyle w:val="TableContents"/>
              <w:bidi w:val="0"/>
              <w:spacing w:before="0" w:after="0"/>
              <w:ind w:left="0" w:right="0" w:hanging="0"/>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current portion</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190" w:type="dxa"/>
            <w:tcBorders/>
            <w:shd w:fill="CCEEFF" w:val="clear"/>
            <w:vAlign w:val="center"/>
          </w:tcPr>
          <w:p>
            <w:pPr>
              <w:pStyle w:val="TableContents"/>
              <w:bidi w:val="0"/>
              <w:spacing w:before="0" w:after="0"/>
              <w:ind w:left="0" w:right="0" w:hanging="0"/>
              <w:jc w:val="left"/>
              <w:rPr/>
            </w:pPr>
            <w:r>
              <w:rPr>
                <w:rStyle w:val="Emphasis"/>
              </w:rPr>
              <w:t> </w:t>
            </w:r>
          </w:p>
        </w:tc>
      </w:tr>
      <w:tr>
        <w:trPr/>
        <w:tc>
          <w:tcPr>
            <w:tcW w:w="42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Less: debt repayment</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(102,000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0" w:type="dxa"/>
            <w:tcBorders/>
            <w:shd w:fill="FFFFFF" w:val="clear"/>
            <w:vAlign w:val="center"/>
          </w:tcPr>
          <w:p>
            <w:pPr>
              <w:pStyle w:val="TableContents"/>
              <w:bidi w:val="0"/>
              <w:spacing w:before="0" w:after="0"/>
              <w:ind w:left="0" w:right="0" w:hanging="0"/>
              <w:jc w:val="left"/>
              <w:rPr/>
            </w:pPr>
            <w:r>
              <w:rPr>
                <w:rStyle w:val="Emphasis"/>
              </w:rPr>
              <w:t> </w:t>
            </w:r>
          </w:p>
        </w:tc>
      </w:tr>
      <w:tr>
        <w:trPr/>
        <w:tc>
          <w:tcPr>
            <w:tcW w:w="4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long-term debt, net</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190" w:type="dxa"/>
            <w:tcBorders/>
            <w:shd w:fill="CCEEFF" w:val="clear"/>
            <w:vAlign w:val="center"/>
          </w:tcPr>
          <w:p>
            <w:pPr>
              <w:pStyle w:val="TableContents"/>
              <w:bidi w:val="0"/>
              <w:spacing w:before="0" w:after="0"/>
              <w:ind w:left="0" w:right="0" w:hanging="0"/>
              <w:jc w:val="left"/>
              <w:rPr/>
            </w:pPr>
            <w:r>
              <w:rPr>
                <w:rStyle w:val="Emphasis"/>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sz w:val="20"/>
        </w:rPr>
      </w:pPr>
      <w:r>
        <w:rPr>
          <w:rFonts w:ascii="Times New Roman" w:hAnsi="Times New Roman"/>
          <w:i/>
          <w:sz w:val="20"/>
        </w:rPr>
        <w:t>Athyrium Note Purchase Agreement:</w:t>
      </w:r>
      <w:r>
        <w:rPr>
          <w:rFonts w:ascii="Times New Roman" w:hAnsi="Times New Roman"/>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issued senior notes for an aggregate principal amount of $100.0 million pursuant to a note purchase agreement dated </w:t>
      </w:r>
      <w:r>
        <w:rPr>
          <w:rStyle w:val="Emphasis"/>
          <w:rFonts w:ascii="Times New Roman" w:hAnsi="Times New Roman"/>
          <w:caps w:val="false"/>
          <w:smallCaps w:val="false"/>
          <w:sz w:val="20"/>
        </w:rPr>
        <w:t>July 23, 2021 </w:t>
      </w:r>
      <w:r>
        <w:rPr>
          <w:rFonts w:ascii="Times New Roman" w:hAnsi="Times New Roman"/>
          <w:caps w:val="false"/>
          <w:smallCaps w:val="false"/>
          <w:sz w:val="20"/>
        </w:rPr>
        <w:t xml:space="preserve">by the Company, and its subsidiary, and Athyrium, as Administrative Agent, and certain other investor parties (the “Note Purchase Agreement”), with an initial maturity date of </w:t>
      </w:r>
      <w:r>
        <w:rPr>
          <w:rStyle w:val="Emphasis"/>
          <w:rFonts w:ascii="Times New Roman" w:hAnsi="Times New Roman"/>
          <w:caps w:val="false"/>
          <w:smallCaps w:val="false"/>
          <w:sz w:val="20"/>
        </w:rPr>
        <w:t>July 23, 2026 (</w:t>
      </w:r>
      <w:r>
        <w:rPr>
          <w:rFonts w:ascii="Times New Roman" w:hAnsi="Times New Roman"/>
          <w:caps w:val="false"/>
          <w:smallCaps w:val="false"/>
          <w:sz w:val="20"/>
        </w:rPr>
        <w:t>the “Athyrium Notes”). The Athyrium Notes were issued for face amount of $100.0 million net of an original issue discount of $1.5 million. The Athyrium Notes also required a 2.0% exit payment to be made on each payment of principal. The borrowings under the Athyrium Notes, together with cash on hand, were used to repay the Company’s outstanding indebtedness, including the applicable exit and prepayment fees owed to lenders under its prior credit facility with Oxford. The Athyrium Notes were secured by substantially all of the Company’s assets. The Company incurred $1.9 million of deferred financing costs with the initial borrowing of the Athyrium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Interest on the Athyrium Notes was calculated in part based on the Secured Overnight Financing Rate (“SOFR”), which replaced the “London Interbank Offered Rate” as the floating benchmark for interest rate calculations applicable to the Athyrium Notes pursuant to the terms of the Third Amendment to Note Purchase Agreement dated as of </w:t>
      </w:r>
      <w:r>
        <w:rPr>
          <w:rStyle w:val="Emphasis"/>
          <w:rFonts w:ascii="Times New Roman" w:hAnsi="Times New Roman"/>
          <w:caps w:val="false"/>
          <w:smallCaps w:val="false"/>
          <w:sz w:val="20"/>
        </w:rPr>
        <w:t xml:space="preserve"> September 16, 2022 (</w:t>
      </w:r>
      <w:r>
        <w:rPr>
          <w:rFonts w:ascii="Times New Roman" w:hAnsi="Times New Roman"/>
          <w:caps w:val="false"/>
          <w:smallCaps w:val="false"/>
          <w:sz w:val="20"/>
        </w:rPr>
        <w:t xml:space="preserve">the “Third Amendment”). The modification of the Note Purchase Agreement pursuant to the Third Amendment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requirements of a debt extinguishment under ASC Topic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i/>
          <w:caps w:val="false"/>
          <w:smallCaps w:val="false"/>
          <w:sz w:val="20"/>
        </w:rPr>
        <w:t>Debt Modifications and Exchanges</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gain or loss was recognized. The Company performed a quantitative analysis and determined that the terms of the new debt and original debt instrument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substantially different. Accordingly, the Third Amendment was accounted for as a debt modification.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Following the effectiveness of the Third Amendment, the Athyrium Notes bore interest at an annual rate equal to the sum of (a) </w:t>
      </w:r>
      <w:r>
        <w:rPr>
          <w:rStyle w:val="Emphasis"/>
          <w:rFonts w:ascii="Times New Roman" w:hAnsi="Times New Roman"/>
          <w:caps w:val="false"/>
          <w:smallCaps w:val="false"/>
          <w:sz w:val="20"/>
        </w:rPr>
        <w:t>eight</w:t>
      </w:r>
      <w:r>
        <w:rPr>
          <w:rFonts w:ascii="Times New Roman" w:hAnsi="Times New Roman"/>
          <w:caps w:val="false"/>
          <w:smallCaps w:val="false"/>
          <w:sz w:val="20"/>
        </w:rPr>
        <w:t xml:space="preserve"> percent (8.00%) plus (b) the lesser of (i) the sum of (</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term SOFR for an interest period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plus (y) 0.26161% (26.161 basis points) and (ii)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-half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percent (3.50%) per annum. Interest was payable quarterly on the last business day of </w:t>
      </w:r>
      <w:r>
        <w:rPr>
          <w:rStyle w:val="Emphasis"/>
          <w:rFonts w:ascii="Times New Roman" w:hAnsi="Times New Roman"/>
          <w:caps w:val="false"/>
          <w:smallCaps w:val="false"/>
          <w:sz w:val="20"/>
        </w:rPr>
        <w:t xml:space="preserve">March, June, September,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each year.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began paying principal payments required to be made quarterly at 11.11% of the original face amount. Each principal payment also included a 2.0% exit payment. Each quarterly principal payment approximated $11.1 million, and each quarterly exit fee payment approximated $0.2 million. Immediately prior to repayment described below, the effective interest rate for the Athyrium Notes was 12.99%.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4, 2026, </w:t>
      </w:r>
      <w:r>
        <w:rPr>
          <w:rFonts w:ascii="Times New Roman" w:hAnsi="Times New Roman"/>
          <w:caps w:val="false"/>
          <w:smallCaps w:val="false"/>
          <w:sz w:val="20"/>
        </w:rPr>
        <w:t xml:space="preserve">the Company paid $11.5 million to Athyrium Opportunities IV Co-Invest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LP, consisting of principal, interest and exit fees due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Note Purchase Agreement. This payment was made ahead of the maturity date of </w:t>
      </w:r>
      <w:r>
        <w:rPr>
          <w:rStyle w:val="Emphasis"/>
          <w:rFonts w:ascii="Times New Roman" w:hAnsi="Times New Roman"/>
          <w:caps w:val="false"/>
          <w:smallCaps w:val="false"/>
          <w:sz w:val="20"/>
        </w:rPr>
        <w:t xml:space="preserve">July 23, 2026, </w:t>
      </w:r>
      <w:r>
        <w:rPr>
          <w:rFonts w:ascii="Times New Roman" w:hAnsi="Times New Roman"/>
          <w:caps w:val="false"/>
          <w:smallCaps w:val="false"/>
          <w:sz w:val="20"/>
        </w:rPr>
        <w:t xml:space="preserve">reduced the principal balance outstanding under the Athyrium Notes to zero and terminated all remaining obligations of the Company under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Note Purchase Agreement, other than customary continuing indemnification obligations.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shd w:fill="FFFFFF" w:val="clear"/>
        </w:rPr>
        <w:t>Debt Issuance Costs and Discounts: </w:t>
      </w:r>
      <w:r>
        <w:rPr>
          <w:rFonts w:ascii="Times New Roman" w:hAnsi="Times New Roman"/>
          <w:caps w:val="false"/>
          <w:smallCaps w:val="false"/>
          <w:sz w:val="20"/>
        </w:rPr>
        <w:t xml:space="preserve"> </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Debt issuance costs and discounts consist of the following (in thousands):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tbl>
      <w:tblPr>
        <w:tblW w:w="7254" w:type="dxa"/>
        <w:jc w:val="left"/>
        <w:tblInd w:w="0" w:type="dxa"/>
        <w:tblLayout w:type="fixed"/>
        <w:tblCellMar>
          <w:top w:w="0" w:type="dxa"/>
          <w:left w:w="0" w:type="dxa"/>
          <w:bottom w:w="0" w:type="dxa"/>
          <w:right w:w="0" w:type="dxa"/>
        </w:tblCellMar>
      </w:tblPr>
      <w:tblGrid>
        <w:gridCol w:w="4220"/>
        <w:gridCol w:w="23"/>
        <w:gridCol w:w="222"/>
        <w:gridCol w:w="967"/>
        <w:gridCol w:w="80"/>
        <w:gridCol w:w="23"/>
        <w:gridCol w:w="305"/>
        <w:gridCol w:w="1334"/>
        <w:gridCol w:w="80"/>
      </w:tblGrid>
      <w:tr>
        <w:trPr/>
        <w:tc>
          <w:tcPr>
            <w:tcW w:w="422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80" w:type="dxa"/>
            <w:tcBorders/>
            <w:vAlign w:val="center"/>
          </w:tcPr>
          <w:p>
            <w:pPr>
              <w:pStyle w:val="TableContents"/>
              <w:bidi w:val="0"/>
              <w:spacing w:before="0" w:after="0"/>
              <w:ind w:left="0" w:right="0" w:hanging="0"/>
              <w:jc w:val="left"/>
              <w:rPr/>
            </w:pPr>
            <w:r>
              <w:rPr/>
              <w:t>​</w:t>
            </w:r>
          </w:p>
        </w:tc>
      </w:tr>
      <w:tr>
        <w:trPr/>
        <w:tc>
          <w:tcPr>
            <w:tcW w:w="42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Debt issuance costs and discounts (Athyrium Notes)</w:t>
            </w:r>
          </w:p>
        </w:tc>
        <w:tc>
          <w:tcPr>
            <w:tcW w:w="23"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5,410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5,410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22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23" w:type="dxa"/>
            <w:tcBorders/>
            <w:shd w:fill="FFFF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(5,410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3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22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Included in current portion of debt</w:t>
            </w:r>
          </w:p>
        </w:tc>
        <w:tc>
          <w:tcPr>
            <w:tcW w:w="23"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w:t>
            </w:r>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Debt issuance costs and discounts are financing costs related to the Company’s outstanding debt. Amortization of debt issuance costs is expensed using the effective interest method and is included in interest expense in the condensed consolidated statement of operations. The Company recorded nominal amounts of interest expense for the thee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shd w:fill="FFFFFF" w:val="clear"/>
        </w:rPr>
        <w:t>, and</w:t>
      </w:r>
      <w:r>
        <w:rPr>
          <w:rFonts w:ascii="Times New Roman" w:hAnsi="Times New Roman"/>
          <w:caps w:val="false"/>
          <w:smallCaps w:val="false"/>
          <w:sz w:val="20"/>
        </w:rPr>
        <w:t xml:space="preserve"> $0.1 million of interest expense for the </w:t>
      </w:r>
      <w:r>
        <w:rPr>
          <w:rStyle w:val="Emphasis"/>
          <w:rFonts w:ascii="Times New Roman" w:hAnsi="Times New Roman"/>
          <w:caps w:val="false"/>
          <w:smallCaps w:val="false"/>
          <w:sz w:val="20"/>
          <w:shd w:fill="FFFFFF" w:val="clear"/>
        </w:rPr>
        <w:t>six</w:t>
      </w:r>
      <w:r>
        <w:rPr>
          <w:rFonts w:ascii="Times New Roman" w:hAnsi="Times New Roman"/>
          <w:caps w:val="false"/>
          <w:smallCaps w:val="false"/>
          <w:sz w:val="20"/>
          <w:shd w:fill="FFFFFF" w:val="clear"/>
        </w:rPr>
        <w:t xml:space="preserve"> months ended </w:t>
      </w:r>
      <w:r>
        <w:rPr>
          <w:rStyle w:val="Emphasis"/>
          <w:rFonts w:ascii="Times New Roman" w:hAnsi="Times New Roman"/>
          <w:caps w:val="false"/>
          <w:smallCaps w:val="false"/>
          <w:sz w:val="20"/>
          <w:shd w:fill="FFFFFF" w:val="clear"/>
        </w:rPr>
        <w:t>June 30, 2026</w:t>
      </w:r>
      <w:r>
        <w:rPr>
          <w:rFonts w:ascii="Times New Roman" w:hAnsi="Times New Roman"/>
          <w:caps w:val="false"/>
          <w:smallCaps w:val="false"/>
          <w:sz w:val="20"/>
        </w:rPr>
        <w:t>. For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 the Company recorded approximately $0.1 million and $0.3 million of interest expense, respectively.</w:t>
      </w:r>
    </w:p>
    <w:p>
      <w:pPr>
        <w:pStyle w:val="TextBody"/>
        <w:bidi w:val="0"/>
        <w:spacing w:before="0" w:after="0"/>
        <w:ind w:left="0" w:right="0" w:firstLine="72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caps w:val="false"/>
          <w:smallCaps w:val="false"/>
          <w:sz w:val="20"/>
        </w:rPr>
        <w:t>—</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Common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The Company issued 0 shares and 55,882 shares of common stock upon exercise of stock options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Company issued 694,664 and 731,009 shares of common stock upon vesting of RSUs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160" w:right="0" w:firstLine="540"/>
        <w:jc w:val="left"/>
        <w:rPr>
          <w:caps w:val="false"/>
          <w:smallCaps w:val="false"/>
          <w:color w:val="000000"/>
        </w:rPr>
      </w:pPr>
      <w:r>
        <w:rPr>
          <w:caps w:val="false"/>
          <w:smallCaps w:val="false"/>
          <w:color w:val="000000"/>
        </w:rPr>
        <w:t> </w:t>
      </w:r>
    </w:p>
    <w:p>
      <w:pPr>
        <w:pStyle w:val="TextBody"/>
        <w:bidi w:val="0"/>
        <w:spacing w:before="0" w:after="0"/>
        <w:ind w:left="0" w:right="0" w:firstLine="540"/>
        <w:jc w:val="left"/>
        <w:rPr>
          <w:rFonts w:ascii="Times New Roman" w:hAnsi="Times New Roman"/>
          <w:sz w:val="20"/>
        </w:rPr>
      </w:pPr>
      <w:r>
        <w:rPr>
          <w:rFonts w:ascii="Times New Roman" w:hAnsi="Times New Roman"/>
          <w:b/>
          <w:sz w:val="20"/>
        </w:rPr>
        <w:t>Authorized Shares:</w:t>
      </w:r>
      <w:r>
        <w:rPr>
          <w:rFonts w:ascii="Times New Roman" w:hAnsi="Times New Roman"/>
          <w:sz w:val="20"/>
        </w:rPr>
        <w:t xml:space="preserve"> </w:t>
      </w:r>
    </w:p>
    <w:p>
      <w:pPr>
        <w:pStyle w:val="TextBody"/>
        <w:bidi w:val="0"/>
        <w:spacing w:before="0" w:after="0"/>
        <w:ind w:left="16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 has 100,000,000 shares of stock authorized for issuance, all of which are common stock, par value $0.0001 per share.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shd w:fill="FFFFFF" w:val="clear"/>
        </w:rPr>
        <w:t>Warrants: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In </w:t>
      </w:r>
      <w:r>
        <w:rPr>
          <w:rStyle w:val="Emphasis"/>
          <w:rFonts w:ascii="Times New Roman" w:hAnsi="Times New Roman"/>
          <w:caps w:val="false"/>
          <w:smallCaps w:val="false"/>
          <w:sz w:val="20"/>
          <w:shd w:fill="FFFFFF" w:val="clear"/>
        </w:rPr>
        <w:t xml:space="preserve">October 2011, </w:t>
      </w:r>
      <w:r>
        <w:rPr>
          <w:rFonts w:ascii="Times New Roman" w:hAnsi="Times New Roman"/>
          <w:caps w:val="false"/>
          <w:smallCaps w:val="false"/>
          <w:sz w:val="20"/>
          <w:shd w:fill="FFFFFF" w:val="clear"/>
        </w:rPr>
        <w:t>the Company issued an anti-dilutive warrant to Alan H. Auerbach, the Company’s founder and Chief Executive Officer (the “Auerbach Warrant”). The Auerbach Warrant was issued to provide Mr. Auerbach with the right to maintain ownership of at least 20% of the Company’s common stock in the event that the Company raised capital through the sale of its securities in the future.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In connection with the closing of a public offering in </w:t>
      </w:r>
      <w:r>
        <w:rPr>
          <w:rStyle w:val="Emphasis"/>
          <w:rFonts w:ascii="Times New Roman" w:hAnsi="Times New Roman"/>
          <w:caps w:val="false"/>
          <w:smallCaps w:val="false"/>
          <w:sz w:val="20"/>
          <w:shd w:fill="FFFFFF" w:val="clear"/>
        </w:rPr>
        <w:t xml:space="preserve">October 2012, </w:t>
      </w:r>
      <w:r>
        <w:rPr>
          <w:rFonts w:ascii="Times New Roman" w:hAnsi="Times New Roman"/>
          <w:caps w:val="false"/>
          <w:smallCaps w:val="false"/>
          <w:sz w:val="20"/>
          <w:shd w:fill="FFFFFF" w:val="clear"/>
        </w:rPr>
        <w:t xml:space="preserve">the exercise price and number of shares underlying the Auerbach Warrant were established and, accordingly, the final value of the Auerbach Warrant became fixed. Pursuant to the terms of the Auerbach Warrant, as amended in </w:t>
      </w:r>
      <w:r>
        <w:rPr>
          <w:rStyle w:val="Emphasis"/>
          <w:rFonts w:ascii="Times New Roman" w:hAnsi="Times New Roman"/>
          <w:caps w:val="false"/>
          <w:smallCaps w:val="false"/>
          <w:sz w:val="20"/>
          <w:shd w:fill="FFFFFF" w:val="clear"/>
        </w:rPr>
        <w:t xml:space="preserve">June 2021, </w:t>
      </w:r>
      <w:r>
        <w:rPr>
          <w:rFonts w:ascii="Times New Roman" w:hAnsi="Times New Roman"/>
          <w:caps w:val="false"/>
          <w:smallCaps w:val="false"/>
          <w:sz w:val="20"/>
          <w:shd w:fill="FFFFFF" w:val="clear"/>
        </w:rPr>
        <w:t xml:space="preserve">Mr. Auerbach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exercise the Auerbach Warrant to acquire 2,116,250 shares of the Company’s common stock at $16 per share until </w:t>
      </w:r>
      <w:r>
        <w:rPr>
          <w:rStyle w:val="Emphasis"/>
          <w:rFonts w:ascii="Times New Roman" w:hAnsi="Times New Roman"/>
          <w:caps w:val="false"/>
          <w:smallCaps w:val="false"/>
          <w:sz w:val="20"/>
          <w:shd w:fill="FFFFFF" w:val="clear"/>
        </w:rPr>
        <w:t>October 4, 2026. </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11, 2026, </w:t>
      </w:r>
      <w:r>
        <w:rPr>
          <w:rFonts w:ascii="Times New Roman" w:hAnsi="Times New Roman"/>
          <w:caps w:val="false"/>
          <w:smallCaps w:val="false"/>
          <w:sz w:val="20"/>
        </w:rPr>
        <w:t xml:space="preserve">the Company held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Annual Meeting of Stockholders, and the Company’s stockholders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approve an amendment to the terms of the Auerbach Warrant, to extend its term from </w:t>
      </w:r>
      <w:r>
        <w:rPr>
          <w:rStyle w:val="Emphasis"/>
          <w:rFonts w:ascii="Times New Roman" w:hAnsi="Times New Roman"/>
          <w:caps w:val="false"/>
          <w:smallCaps w:val="false"/>
          <w:sz w:val="20"/>
        </w:rPr>
        <w:t xml:space="preserve">October 4, 2026 </w:t>
      </w:r>
      <w:r>
        <w:rPr>
          <w:rFonts w:ascii="Times New Roman" w:hAnsi="Times New Roman"/>
          <w:caps w:val="false"/>
          <w:smallCaps w:val="false"/>
          <w:sz w:val="20"/>
        </w:rPr>
        <w:t xml:space="preserve">until </w:t>
      </w:r>
      <w:r>
        <w:rPr>
          <w:rStyle w:val="Emphasis"/>
          <w:rFonts w:ascii="Times New Roman" w:hAnsi="Times New Roman"/>
          <w:caps w:val="false"/>
          <w:smallCaps w:val="false"/>
          <w:sz w:val="20"/>
        </w:rPr>
        <w:t>October 4,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shd w:fill="FFFFFF" w:val="clear"/>
        </w:rPr>
        <w:t>Stock Options and Restricted Stock Units: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as amended, was adopted by the Company’s Board of Directors on </w:t>
      </w:r>
      <w:r>
        <w:rPr>
          <w:rStyle w:val="Emphasis"/>
          <w:rFonts w:ascii="Times New Roman" w:hAnsi="Times New Roman"/>
          <w:caps w:val="false"/>
          <w:smallCaps w:val="false"/>
          <w:sz w:val="20"/>
        </w:rPr>
        <w:t xml:space="preserve">September 15, 2011. </w:t>
      </w:r>
      <w:r>
        <w:rPr>
          <w:rFonts w:ascii="Times New Roman" w:hAnsi="Times New Roman"/>
          <w:caps w:val="false"/>
          <w:smallCaps w:val="false"/>
          <w:sz w:val="20"/>
        </w:rPr>
        <w:t xml:space="preserve">Pursuant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grant incentive stock options and nonqualified stock options, as well as other forms of equity-based compensation. Incentive stock options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granted only to employees, while consultants, employees, officers, and directors are eligible for the grant of nonqualified options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maximum term of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is 10 years and the awards generally vest over a two-year period. The exercise price of incentive stock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must be at least equal to the fair value of such shares on the date of grant</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April 1, 2021, </w:t>
      </w:r>
      <w:r>
        <w:rPr>
          <w:rFonts w:ascii="Times New Roman" w:hAnsi="Times New Roman"/>
          <w:caps w:val="false"/>
          <w:smallCaps w:val="false"/>
          <w:sz w:val="20"/>
        </w:rPr>
        <w:t xml:space="preserve">the Board of Directors adopted an amendment to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to increase the number of shares of the Company's common stock reserved for issuance thereunder by 2,000,000 shares. The amendment was approved by the Company's stockholders on </w:t>
      </w:r>
      <w:r>
        <w:rPr>
          <w:rStyle w:val="Emphasis"/>
          <w:rFonts w:ascii="Times New Roman" w:hAnsi="Times New Roman"/>
          <w:caps w:val="false"/>
          <w:smallCaps w:val="false"/>
          <w:sz w:val="20"/>
        </w:rPr>
        <w:t xml:space="preserve">June 15, 2021. </w:t>
      </w: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June 18, 2024, </w:t>
      </w:r>
      <w:r>
        <w:rPr>
          <w:rFonts w:ascii="Times New Roman" w:hAnsi="Times New Roman"/>
          <w:caps w:val="false"/>
          <w:smallCaps w:val="false"/>
          <w:sz w:val="20"/>
          <w:shd w:fill="FFFFFF" w:val="clear"/>
        </w:rPr>
        <w:t>the stockholders of the Company approved an amendment to the Company</w:t>
      </w:r>
      <w:r>
        <w:rPr>
          <w:rFonts w:ascii="Times New Roman" w:hAnsi="Times New Roman"/>
          <w:caps w:val="false"/>
          <w:smallCaps w:val="false"/>
          <w:sz w:val="20"/>
        </w:rPr>
        <w:t>’</w:t>
      </w:r>
      <w:r>
        <w:rPr>
          <w:rFonts w:ascii="Times New Roman" w:hAnsi="Times New Roman"/>
          <w:caps w:val="false"/>
          <w:smallCaps w:val="false"/>
          <w:sz w:val="20"/>
          <w:shd w:fill="FFFFFF" w:val="clear"/>
        </w:rPr>
        <w:t xml:space="preserve">s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increasing the number of authorized shares of the Company’s common stock, par value $0.0001 per share, that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become issuable under the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by 3,000,000 shares and extending the period during which incentive stock options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be granted. As</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 a total of </w:t>
      </w:r>
      <w:r>
        <w:rPr>
          <w:rFonts w:ascii="Times New Roman" w:hAnsi="Times New Roman"/>
          <w:caps w:val="false"/>
          <w:smallCaps w:val="false"/>
          <w:sz w:val="20"/>
        </w:rPr>
        <w:t>17,529,412 </w:t>
      </w:r>
      <w:r>
        <w:rPr>
          <w:rFonts w:ascii="Times New Roman" w:hAnsi="Times New Roman"/>
          <w:caps w:val="false"/>
          <w:smallCaps w:val="false"/>
          <w:sz w:val="20"/>
          <w:shd w:fill="FFFFFF" w:val="clear"/>
        </w:rPr>
        <w:t xml:space="preserve">shares of </w:t>
      </w:r>
      <w:r>
        <w:rPr>
          <w:rFonts w:ascii="Times New Roman" w:hAnsi="Times New Roman"/>
          <w:caps w:val="false"/>
          <w:smallCaps w:val="false"/>
          <w:sz w:val="20"/>
        </w:rPr>
        <w:t xml:space="preserve">the Company’s common stock have been reserved for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w:t>
      </w:r>
    </w:p>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All of the options awarded by the Company have been “plain vanilla options” </w:t>
      </w:r>
      <w:r>
        <w:rPr>
          <w:rFonts w:ascii="Times New Roman" w:hAnsi="Times New Roman"/>
          <w:caps w:val="false"/>
          <w:smallCaps w:val="false"/>
          <w:sz w:val="20"/>
          <w:shd w:fill="FFFFFF" w:val="clear"/>
        </w:rPr>
        <w:t xml:space="preserve">as determined by the SEC Staff Accounting Bulletin </w:t>
      </w:r>
      <w:r>
        <w:rPr>
          <w:rStyle w:val="Emphasis"/>
          <w:rFonts w:ascii="Times New Roman" w:hAnsi="Times New Roman"/>
          <w:caps w:val="false"/>
          <w:smallCaps w:val="false"/>
          <w:sz w:val="20"/>
          <w:shd w:fill="FFFFFF" w:val="clear"/>
        </w:rPr>
        <w:t>107</w:t>
      </w:r>
      <w:r>
        <w:rPr>
          <w:rFonts w:ascii="Times New Roman" w:hAnsi="Times New Roman"/>
          <w:caps w:val="false"/>
          <w:smallCaps w:val="false"/>
          <w:sz w:val="20"/>
        </w:rPr>
        <w:t>—</w:t>
      </w:r>
      <w:r>
        <w:rPr>
          <w:rFonts w:ascii="Times New Roman" w:hAnsi="Times New Roman"/>
          <w:i/>
          <w:caps w:val="false"/>
          <w:smallCaps w:val="false"/>
          <w:sz w:val="20"/>
          <w:shd w:fill="FFFFFF" w:val="clear"/>
        </w:rPr>
        <w:t xml:space="preserve">Share Based Payment. </w:t>
      </w:r>
      <w:r>
        <w:rPr>
          <w:rFonts w:ascii="Times New Roman" w:hAnsi="Times New Roman"/>
          <w:caps w:val="false"/>
          <w:smallCaps w:val="false"/>
          <w:sz w:val="20"/>
          <w:shd w:fill="FFFFFF" w:val="clear"/>
        </w:rPr>
        <w:t>As of</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w:t>
      </w:r>
      <w:r>
        <w:rPr>
          <w:rFonts w:ascii="Times New Roman" w:hAnsi="Times New Roman"/>
          <w:caps w:val="false"/>
          <w:smallCaps w:val="false"/>
          <w:sz w:val="20"/>
        </w:rPr>
        <w:t> 5,061,725 </w:t>
      </w:r>
      <w:r>
        <w:rPr>
          <w:rFonts w:ascii="Times New Roman" w:hAnsi="Times New Roman"/>
          <w:caps w:val="false"/>
          <w:smallCaps w:val="false"/>
          <w:sz w:val="20"/>
          <w:shd w:fill="FFFFFF" w:val="clear"/>
        </w:rPr>
        <w:t xml:space="preserve">shares of the Company’s common stock are issuable upon the exercise of outstanding stock options and vesting of RSUs granted under the </w:t>
      </w:r>
      <w:r>
        <w:rPr>
          <w:rStyle w:val="Emphasis"/>
          <w:rFonts w:ascii="Times New Roman" w:hAnsi="Times New Roman"/>
          <w:caps w:val="false"/>
          <w:smallCaps w:val="false"/>
          <w:sz w:val="20"/>
          <w:shd w:fill="FFFFFF" w:val="clear"/>
        </w:rPr>
        <w:t>2011</w:t>
      </w:r>
      <w:r>
        <w:rPr>
          <w:rFonts w:ascii="Times New Roman" w:hAnsi="Times New Roman"/>
          <w:caps w:val="false"/>
          <w:smallCaps w:val="false"/>
          <w:sz w:val="20"/>
          <w:shd w:fill="FFFFFF" w:val="clear"/>
        </w:rPr>
        <w:t xml:space="preserve"> Plan and</w:t>
      </w:r>
      <w:r>
        <w:rPr>
          <w:rFonts w:ascii="Times New Roman" w:hAnsi="Times New Roman"/>
          <w:caps w:val="false"/>
          <w:smallCaps w:val="false"/>
          <w:sz w:val="20"/>
        </w:rPr>
        <w:t> 2,123,279 </w:t>
      </w:r>
      <w:r>
        <w:rPr>
          <w:rFonts w:ascii="Times New Roman" w:hAnsi="Times New Roman"/>
          <w:caps w:val="false"/>
          <w:smallCaps w:val="false"/>
          <w:sz w:val="20"/>
          <w:shd w:fill="FFFFFF" w:val="clear"/>
        </w:rPr>
        <w:t>shares of</w:t>
      </w:r>
      <w:r>
        <w:rPr>
          <w:rFonts w:ascii="Times New Roman" w:hAnsi="Times New Roman"/>
          <w:caps w:val="false"/>
          <w:smallCaps w:val="false"/>
          <w:sz w:val="20"/>
        </w:rPr>
        <w:t xml:space="preserve"> the Company’s common stock are available for future issuance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The fair value of options granted to employees and nonemployees was estimated using the Black-Scholes Option Pricing Method (see Note </w:t>
      </w:r>
      <w:r>
        <w:rPr>
          <w:rStyle w:val="Emphasis"/>
          <w:rFonts w:ascii="Times New Roman" w:hAnsi="Times New Roman"/>
          <w:caps w:val="false"/>
          <w:smallCaps w:val="false"/>
          <w:sz w:val="20"/>
        </w:rPr>
        <w:t>2—Significant</w:t>
      </w:r>
      <w:r>
        <w:rPr>
          <w:rFonts w:ascii="Times New Roman" w:hAnsi="Times New Roman"/>
          <w:caps w:val="false"/>
          <w:smallCaps w:val="false"/>
          <w:sz w:val="20"/>
        </w:rPr>
        <w:t xml:space="preserve"> Accounting Policies) with the following weighted-average assumptions used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775"/>
        <w:gridCol w:w="60"/>
        <w:gridCol w:w="60"/>
        <w:gridCol w:w="380"/>
        <w:gridCol w:w="185"/>
        <w:gridCol w:w="60"/>
        <w:gridCol w:w="60"/>
        <w:gridCol w:w="380"/>
        <w:gridCol w:w="185"/>
      </w:tblGrid>
      <w:tr>
        <w:trPr/>
        <w:tc>
          <w:tcPr>
            <w:tcW w:w="17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81.5</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7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life in years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18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Plan, as amended, was adopted by the Comp</w:t>
      </w:r>
      <w:r>
        <w:rPr>
          <w:rFonts w:ascii="Times New Roman" w:hAnsi="Times New Roman"/>
          <w:caps w:val="false"/>
          <w:smallCaps w:val="false"/>
          <w:sz w:val="20"/>
          <w:shd w:fill="FFFFFF" w:val="clear"/>
        </w:rPr>
        <w:t xml:space="preserve">any’s Board of Directors on </w:t>
      </w:r>
      <w:r>
        <w:rPr>
          <w:rStyle w:val="Emphasis"/>
          <w:rFonts w:ascii="Times New Roman" w:hAnsi="Times New Roman"/>
          <w:caps w:val="false"/>
          <w:smallCaps w:val="false"/>
          <w:sz w:val="20"/>
          <w:shd w:fill="FFFFFF" w:val="clear"/>
        </w:rPr>
        <w:t>April 27,</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Pursuant to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the Company </w:t>
      </w:r>
      <w:r>
        <w:rPr>
          <w:rStyle w:val="Emphasis"/>
          <w:rFonts w:ascii="Times New Roman" w:hAnsi="Times New Roman"/>
          <w:caps w:val="false"/>
          <w:smallCaps w:val="false"/>
          <w:sz w:val="20"/>
          <w:shd w:fill="FFFFFF" w:val="clear"/>
        </w:rPr>
        <w:t xml:space="preserve">may </w:t>
      </w:r>
      <w:r>
        <w:rPr>
          <w:rFonts w:ascii="Times New Roman" w:hAnsi="Times New Roman"/>
          <w:caps w:val="false"/>
          <w:smallCaps w:val="false"/>
          <w:sz w:val="20"/>
          <w:shd w:fill="FFFFFF" w:val="clear"/>
        </w:rPr>
        <w:t xml:space="preserve">grant stock options and RSUs, as well as other forms of equity-based compensation, to employees as an inducement to join the Company. The maximum term of stock options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is 10 years and the awards generally vest over a two-year period. The exercise price of stock options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must be at least equal to the fair market value of such shares on the date of grant. On </w:t>
      </w:r>
      <w:r>
        <w:rPr>
          <w:rStyle w:val="Emphasis"/>
          <w:rFonts w:ascii="Times New Roman" w:hAnsi="Times New Roman"/>
          <w:caps w:val="false"/>
          <w:smallCaps w:val="false"/>
          <w:sz w:val="20"/>
          <w:shd w:fill="FFFFFF" w:val="clear"/>
        </w:rPr>
        <w:t>July 15, 2021, </w:t>
      </w:r>
      <w:r>
        <w:rPr>
          <w:rFonts w:ascii="Times New Roman" w:hAnsi="Times New Roman"/>
          <w:caps w:val="false"/>
          <w:smallCaps w:val="false"/>
          <w:sz w:val="20"/>
          <w:shd w:fill="FFFFFF" w:val="clear"/>
        </w:rPr>
        <w:t xml:space="preserve">the Board of Directors adopted an amendment to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to increase the number of shares of the Company’s common stock reserved for issuance thereunder by 1,000,000 shares. As of</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 a total of</w:t>
      </w:r>
      <w:r>
        <w:rPr>
          <w:rFonts w:ascii="Times New Roman" w:hAnsi="Times New Roman"/>
          <w:caps w:val="false"/>
          <w:smallCaps w:val="false"/>
          <w:sz w:val="20"/>
        </w:rPr>
        <w:t> 452,146 </w:t>
      </w:r>
      <w:r>
        <w:rPr>
          <w:rFonts w:ascii="Times New Roman" w:hAnsi="Times New Roman"/>
          <w:caps w:val="false"/>
          <w:smallCaps w:val="false"/>
          <w:sz w:val="20"/>
          <w:shd w:fill="FFFFFF" w:val="clear"/>
        </w:rPr>
        <w:t xml:space="preserve">shares of the Company’s common stock are issuable upon the exercise of outstanding stock options and vesting of RSUs granted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 and</w:t>
      </w:r>
      <w:r>
        <w:rPr>
          <w:rFonts w:ascii="Times New Roman" w:hAnsi="Times New Roman"/>
          <w:caps w:val="false"/>
          <w:smallCaps w:val="false"/>
          <w:sz w:val="20"/>
        </w:rPr>
        <w:t> 1,196,018 </w:t>
      </w:r>
      <w:r>
        <w:rPr>
          <w:rFonts w:ascii="Times New Roman" w:hAnsi="Times New Roman"/>
          <w:caps w:val="false"/>
          <w:smallCaps w:val="false"/>
          <w:sz w:val="20"/>
          <w:shd w:fill="FFFFFF" w:val="clear"/>
        </w:rPr>
        <w:t xml:space="preserve">shares of the Company’s common stock are available for future issuance under the </w:t>
      </w:r>
      <w:r>
        <w:rPr>
          <w:rStyle w:val="Emphasis"/>
          <w:rFonts w:ascii="Times New Roman" w:hAnsi="Times New Roman"/>
          <w:caps w:val="false"/>
          <w:smallCaps w:val="false"/>
          <w:sz w:val="20"/>
          <w:shd w:fill="FFFFFF" w:val="clear"/>
        </w:rPr>
        <w:t>2017</w:t>
      </w:r>
      <w:r>
        <w:rPr>
          <w:rFonts w:ascii="Times New Roman" w:hAnsi="Times New Roman"/>
          <w:caps w:val="false"/>
          <w:smallCaps w:val="false"/>
          <w:sz w:val="20"/>
          <w:shd w:fill="FFFFFF" w:val="clear"/>
        </w:rPr>
        <w:t xml:space="preserve"> Plan.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Stock-based compensation expense was as follows (in thousands):</w:t>
      </w:r>
    </w:p>
    <w:p>
      <w:pPr>
        <w:pStyle w:val="TextBody"/>
        <w:bidi w:val="0"/>
        <w:spacing w:before="0" w:after="0"/>
        <w:ind w:left="0" w:right="0" w:firstLine="540"/>
        <w:jc w:val="left"/>
        <w:rPr>
          <w:caps w:val="false"/>
          <w:smallCaps w:val="false"/>
        </w:rPr>
      </w:pPr>
      <w:r>
        <w:rPr>
          <w:caps w:val="false"/>
          <w:smallCaps w:val="false"/>
        </w:rPr>
        <w:t> </w:t>
      </w:r>
    </w:p>
    <w:tbl>
      <w:tblPr>
        <w:tblW w:w="8212" w:type="dxa"/>
        <w:jc w:val="left"/>
        <w:tblInd w:w="0" w:type="dxa"/>
        <w:tblLayout w:type="fixed"/>
        <w:tblCellMar>
          <w:top w:w="0" w:type="dxa"/>
          <w:left w:w="0" w:type="dxa"/>
          <w:bottom w:w="0" w:type="dxa"/>
          <w:right w:w="0" w:type="dxa"/>
        </w:tblCellMar>
      </w:tblPr>
      <w:tblGrid>
        <w:gridCol w:w="3350"/>
        <w:gridCol w:w="60"/>
        <w:gridCol w:w="225"/>
        <w:gridCol w:w="875"/>
        <w:gridCol w:w="108"/>
        <w:gridCol w:w="108"/>
        <w:gridCol w:w="225"/>
        <w:gridCol w:w="875"/>
        <w:gridCol w:w="60"/>
        <w:gridCol w:w="60"/>
        <w:gridCol w:w="206"/>
        <w:gridCol w:w="799"/>
        <w:gridCol w:w="98"/>
        <w:gridCol w:w="98"/>
        <w:gridCol w:w="206"/>
        <w:gridCol w:w="799"/>
        <w:gridCol w:w="60"/>
      </w:tblGrid>
      <w:tr>
        <w:trPr/>
        <w:tc>
          <w:tcPr>
            <w:tcW w:w="33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For the Six Months Ended</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98"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1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Options:</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249</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495</w:t>
            </w:r>
          </w:p>
        </w:tc>
        <w:tc>
          <w:tcPr>
            <w:tcW w:w="98"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w:t>
            </w:r>
          </w:p>
        </w:tc>
        <w:tc>
          <w:tcPr>
            <w:tcW w:w="98"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 </w:t>
            </w:r>
          </w:p>
        </w:tc>
        <w:tc>
          <w:tcPr>
            <w:tcW w:w="87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930</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shd w:fill="FFFFFF" w:val="clear"/>
            <w:vAlign w:val="center"/>
          </w:tcPr>
          <w:p>
            <w:pPr>
              <w:pStyle w:val="TableContents"/>
              <w:bidi w:val="0"/>
              <w:spacing w:before="0" w:after="0"/>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1,823</w:t>
            </w:r>
          </w:p>
        </w:tc>
        <w:tc>
          <w:tcPr>
            <w:tcW w:w="98"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1,682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5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719</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1,422</w:t>
            </w:r>
          </w:p>
        </w:tc>
        <w:tc>
          <w:tcPr>
            <w:tcW w:w="98" w:type="dxa"/>
            <w:tcBorders/>
            <w:shd w:fill="CCEEFF" w:val="clear"/>
            <w:vAlign w:val="center"/>
          </w:tcPr>
          <w:p>
            <w:pPr>
              <w:pStyle w:val="TableContents"/>
              <w:bidi w:val="0"/>
              <w:spacing w:before="0" w:after="0"/>
              <w:ind w:left="0" w:right="0" w:hanging="0"/>
              <w:jc w:val="left"/>
              <w:rPr/>
            </w:pPr>
            <w:r>
              <w:rPr/>
              <w:t> </w:t>
            </w:r>
          </w:p>
        </w:tc>
        <w:tc>
          <w:tcPr>
            <w:tcW w:w="98"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1,953</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2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3,849</w:t>
            </w:r>
          </w:p>
        </w:tc>
        <w:tc>
          <w:tcPr>
            <w:tcW w:w="98"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3,654</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Activity with respect to options granted under the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summarized as follows: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Stock Option Roll Forward:</w:t>
      </w:r>
      <w:r>
        <w:rPr>
          <w:rFonts w:ascii="Times New Roman" w:hAnsi="Times New Roman"/>
          <w:caps w:val="false"/>
          <w:smallCaps w:val="false"/>
          <w:sz w:val="20"/>
        </w:rPr>
        <w:t xml:space="preserve"> </w:t>
      </w:r>
    </w:p>
    <w:p>
      <w:pPr>
        <w:pStyle w:val="TextBody"/>
        <w:bidi w:val="0"/>
        <w:spacing w:before="0" w:after="0"/>
        <w:ind w:left="0" w:right="0" w:firstLine="8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8"/>
        <w:gridCol w:w="23"/>
        <w:gridCol w:w="23"/>
        <w:gridCol w:w="845"/>
        <w:gridCol w:w="80"/>
        <w:gridCol w:w="23"/>
        <w:gridCol w:w="334"/>
        <w:gridCol w:w="1470"/>
        <w:gridCol w:w="80"/>
        <w:gridCol w:w="23"/>
        <w:gridCol w:w="217"/>
        <w:gridCol w:w="2616"/>
        <w:gridCol w:w="23"/>
        <w:gridCol w:w="23"/>
        <w:gridCol w:w="431"/>
        <w:gridCol w:w="1679"/>
        <w:gridCol w:w="27"/>
      </w:tblGrid>
      <w:tr>
        <w:trPr/>
        <w:tc>
          <w:tcPr>
            <w:tcW w:w="228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Exercise Price</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Remaining Contractual Term (years)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Aggregate Intrinsic Value (in thousands)</w:t>
            </w:r>
          </w:p>
        </w:tc>
        <w:tc>
          <w:tcPr>
            <w:tcW w:w="27" w:type="dxa"/>
            <w:tcBorders/>
            <w:vAlign w:val="center"/>
          </w:tcPr>
          <w:p>
            <w:pPr>
              <w:pStyle w:val="TableContents"/>
              <w:bidi w:val="0"/>
              <w:spacing w:before="0" w:after="0"/>
              <w:ind w:left="0" w:right="0" w:hanging="0"/>
              <w:jc w:val="left"/>
              <w:rPr/>
            </w:pPr>
            <w:r>
              <w:rPr/>
              <w:t>​</w:t>
            </w:r>
          </w:p>
        </w:tc>
      </w:tr>
      <w:tr>
        <w:trPr/>
        <w:tc>
          <w:tcPr>
            <w:tcW w:w="228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Outstanding at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3,217,289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2616"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pPr>
            <w:r>
              <w:rPr/>
              <w:t>​</w:t>
            </w:r>
          </w:p>
        </w:tc>
        <w:tc>
          <w:tcPr>
            <w:tcW w:w="1679" w:type="dxa"/>
            <w:tcBorders/>
            <w:shd w:fill="CCEEFF" w:val="clear"/>
            <w:vAlign w:val="center"/>
          </w:tcPr>
          <w:p>
            <w:pPr>
              <w:pStyle w:val="TableContents"/>
              <w:bidi w:val="0"/>
              <w:spacing w:before="0" w:after="0"/>
              <w:ind w:left="0" w:right="0" w:hanging="0"/>
              <w:jc w:val="right"/>
              <w:rPr/>
            </w:pPr>
            <w:r>
              <w:rPr>
                <w:rStyle w:val="Emphasis"/>
              </w:rPr>
              <w:t>​</w:t>
            </w:r>
          </w:p>
        </w:tc>
        <w:tc>
          <w:tcPr>
            <w:tcW w:w="27" w:type="dxa"/>
            <w:tcBorders/>
            <w:shd w:fill="CCEEFF" w:val="clear"/>
            <w:vAlign w:val="center"/>
          </w:tcPr>
          <w:p>
            <w:pPr>
              <w:pStyle w:val="TableContents"/>
              <w:bidi w:val="0"/>
              <w:spacing w:before="0" w:after="0"/>
              <w:ind w:left="0" w:right="0" w:hanging="0"/>
              <w:jc w:val="left"/>
              <w:rPr/>
            </w:pPr>
            <w:r>
              <w:rPr/>
              <w:t>​</w:t>
            </w:r>
          </w:p>
        </w:tc>
      </w:tr>
      <w:tr>
        <w:trPr/>
        <w:tc>
          <w:tcPr>
            <w:tcW w:w="228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364,336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34" w:type="dxa"/>
            <w:tcBorders/>
            <w:shd w:fill="FFFFFF" w:val="clear"/>
            <w:vAlign w:val="center"/>
          </w:tcPr>
          <w:p>
            <w:pPr>
              <w:pStyle w:val="TableContents"/>
              <w:bidi w:val="0"/>
              <w:spacing w:before="0" w:after="0"/>
              <w:ind w:left="0" w:right="0" w:hanging="0"/>
              <w:jc w:val="left"/>
              <w:rPr/>
            </w:pPr>
            <w:r>
              <w:rPr/>
              <w:t>​</w:t>
            </w:r>
          </w:p>
        </w:tc>
        <w:tc>
          <w:tcPr>
            <w:tcW w:w="1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2616"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31" w:type="dxa"/>
            <w:tcBorders/>
            <w:shd w:fill="FFFFFF" w:val="clear"/>
            <w:vAlign w:val="center"/>
          </w:tcPr>
          <w:p>
            <w:pPr>
              <w:pStyle w:val="TableContents"/>
              <w:bidi w:val="0"/>
              <w:spacing w:before="0" w:after="0"/>
              <w:ind w:left="0" w:right="0" w:hanging="0"/>
              <w:jc w:val="left"/>
              <w:rPr/>
            </w:pPr>
            <w:r>
              <w:rPr/>
              <w:t>​</w:t>
            </w:r>
          </w:p>
        </w:tc>
        <w:tc>
          <w:tcPr>
            <w:tcW w:w="1679" w:type="dxa"/>
            <w:tcBorders/>
            <w:shd w:fill="FFFFFF" w:val="clear"/>
            <w:vAlign w:val="center"/>
          </w:tcPr>
          <w:p>
            <w:pPr>
              <w:pStyle w:val="TableContents"/>
              <w:bidi w:val="0"/>
              <w:spacing w:before="0" w:after="0"/>
              <w:ind w:left="0" w:right="0" w:hanging="0"/>
              <w:jc w:val="right"/>
              <w:rPr/>
            </w:pPr>
            <w:r>
              <w:rPr>
                <w:rStyle w:val="Emphasis"/>
              </w:rPr>
              <w:t>​</w:t>
            </w:r>
          </w:p>
        </w:tc>
        <w:tc>
          <w:tcPr>
            <w:tcW w:w="27" w:type="dxa"/>
            <w:tcBorders/>
            <w:shd w:fill="FFFFFF" w:val="clear"/>
            <w:vAlign w:val="center"/>
          </w:tcPr>
          <w:p>
            <w:pPr>
              <w:pStyle w:val="TableContents"/>
              <w:bidi w:val="0"/>
              <w:spacing w:before="0" w:after="0"/>
              <w:ind w:left="0" w:right="0" w:hanging="0"/>
              <w:jc w:val="left"/>
              <w:rPr/>
            </w:pPr>
            <w:r>
              <w:rPr/>
              <w:t>​</w:t>
            </w:r>
          </w:p>
        </w:tc>
      </w:tr>
      <w:tr>
        <w:trPr/>
        <w:tc>
          <w:tcPr>
            <w:tcW w:w="2288"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(Expired)</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(118,292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7" w:type="dxa"/>
            <w:tcBorders/>
            <w:shd w:fill="CCEEFF" w:val="clear"/>
            <w:vAlign w:val="center"/>
          </w:tcPr>
          <w:p>
            <w:pPr>
              <w:pStyle w:val="TableContents"/>
              <w:bidi w:val="0"/>
              <w:spacing w:before="0" w:after="0"/>
              <w:ind w:left="0" w:right="0" w:hanging="0"/>
              <w:jc w:val="left"/>
              <w:rPr/>
            </w:pPr>
            <w:r>
              <w:rPr/>
              <w:t>​</w:t>
            </w:r>
          </w:p>
        </w:tc>
      </w:tr>
      <w:tr>
        <w:trPr/>
        <w:tc>
          <w:tcPr>
            <w:tcW w:w="228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Outstanding at June 30, 2026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3,463,333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261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3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6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7,535</w:t>
            </w:r>
          </w:p>
        </w:tc>
        <w:tc>
          <w:tcPr>
            <w:tcW w:w="27" w:type="dxa"/>
            <w:tcBorders/>
            <w:shd w:fill="FFFFFF" w:val="clear"/>
            <w:vAlign w:val="center"/>
          </w:tcPr>
          <w:p>
            <w:pPr>
              <w:pStyle w:val="TableContents"/>
              <w:bidi w:val="0"/>
              <w:spacing w:before="0" w:after="0"/>
              <w:ind w:left="0" w:right="0" w:hanging="0"/>
              <w:jc w:val="left"/>
              <w:rPr/>
            </w:pPr>
            <w:r>
              <w:rPr/>
              <w:t>​</w:t>
            </w:r>
          </w:p>
        </w:tc>
      </w:tr>
      <w:tr>
        <w:trPr/>
        <w:tc>
          <w:tcPr>
            <w:tcW w:w="228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Vested and expected to vest at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3,463,333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261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67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7,535</w:t>
            </w:r>
          </w:p>
        </w:tc>
        <w:tc>
          <w:tcPr>
            <w:tcW w:w="27" w:type="dxa"/>
            <w:tcBorders/>
            <w:shd w:fill="CCEEFF" w:val="clear"/>
            <w:vAlign w:val="center"/>
          </w:tcPr>
          <w:p>
            <w:pPr>
              <w:pStyle w:val="TableContents"/>
              <w:bidi w:val="0"/>
              <w:spacing w:before="0" w:after="0"/>
              <w:ind w:left="0" w:right="0" w:hanging="0"/>
              <w:jc w:val="left"/>
              <w:rPr/>
            </w:pPr>
            <w:r>
              <w:rPr/>
              <w:t>​</w:t>
            </w:r>
          </w:p>
        </w:tc>
      </w:tr>
      <w:tr>
        <w:trPr/>
        <w:tc>
          <w:tcPr>
            <w:tcW w:w="228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Exercisable</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2,885,850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261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3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67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5,878</w:t>
            </w:r>
          </w:p>
        </w:tc>
        <w:tc>
          <w:tcPr>
            <w:tcW w:w="27"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 total estimated unrecognized employee</w:t>
      </w:r>
      <w:r>
        <w:rPr>
          <w:rFonts w:ascii="Times New Roman" w:hAnsi="Times New Roman"/>
          <w:caps w:val="false"/>
          <w:smallCaps w:val="false"/>
          <w:sz w:val="20"/>
        </w:rPr>
        <w:t xml:space="preserve"> </w:t>
      </w:r>
      <w:r>
        <w:rPr>
          <w:rFonts w:ascii="Times New Roman" w:hAnsi="Times New Roman"/>
          <w:caps w:val="false"/>
          <w:smallCaps w:val="false"/>
          <w:sz w:val="20"/>
          <w:shd w:fill="FFFFFF" w:val="clear"/>
        </w:rPr>
        <w:t>compensation cost related to non-vested stock options granted prior to that date was approximately</w:t>
      </w:r>
      <w:r>
        <w:rPr>
          <w:rFonts w:ascii="Times New Roman" w:hAnsi="Times New Roman"/>
          <w:caps w:val="false"/>
          <w:smallCaps w:val="false"/>
          <w:sz w:val="20"/>
        </w:rPr>
        <w:t> $1.4 million</w:t>
      </w:r>
      <w:r>
        <w:rPr>
          <w:rFonts w:ascii="Times New Roman" w:hAnsi="Times New Roman"/>
          <w:caps w:val="false"/>
          <w:smallCaps w:val="false"/>
          <w:sz w:val="20"/>
          <w:shd w:fill="FFFFFF" w:val="clear"/>
        </w:rPr>
        <w:t>, which is expected to be recognized over a weighted-average period of</w:t>
      </w:r>
      <w:r>
        <w:rPr>
          <w:rFonts w:ascii="Times New Roman" w:hAnsi="Times New Roman"/>
          <w:caps w:val="false"/>
          <w:smallCaps w:val="false"/>
          <w:sz w:val="20"/>
        </w:rPr>
        <w:t> 1.4 years</w:t>
      </w:r>
      <w:r>
        <w:rPr>
          <w:rFonts w:ascii="Times New Roman" w:hAnsi="Times New Roman"/>
          <w:caps w:val="false"/>
          <w:smallCaps w:val="false"/>
          <w:sz w:val="20"/>
          <w:shd w:fill="FFFFFF" w:val="clear"/>
        </w:rPr>
        <w:t>. At</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shd w:fill="FFFFFF" w:val="clear"/>
        </w:rPr>
        <w:t>, the total estimated unrecognized employee compensation cost related to non-vested RSUs was approximately</w:t>
      </w:r>
      <w:r>
        <w:rPr>
          <w:rFonts w:ascii="Times New Roman" w:hAnsi="Times New Roman"/>
          <w:caps w:val="false"/>
          <w:smallCaps w:val="false"/>
          <w:sz w:val="20"/>
        </w:rPr>
        <w:t> $9.0 million</w:t>
      </w:r>
      <w:r>
        <w:rPr>
          <w:rFonts w:ascii="Times New Roman" w:hAnsi="Times New Roman"/>
          <w:caps w:val="false"/>
          <w:smallCaps w:val="false"/>
          <w:sz w:val="20"/>
          <w:shd w:fill="FFFFFF" w:val="clear"/>
        </w:rPr>
        <w:t>, which is expected to be recognized over a weighted-average period of</w:t>
      </w:r>
      <w:r>
        <w:rPr>
          <w:rFonts w:ascii="Times New Roman" w:hAnsi="Times New Roman"/>
          <w:caps w:val="false"/>
          <w:smallCaps w:val="false"/>
          <w:sz w:val="20"/>
        </w:rPr>
        <w:t> 1.5 years</w:t>
      </w:r>
      <w:r>
        <w:rPr>
          <w:rFonts w:ascii="Times New Roman" w:hAnsi="Times New Roman"/>
          <w:caps w:val="false"/>
          <w:smallCaps w:val="false"/>
          <w:sz w:val="20"/>
          <w:shd w:fill="FFFFFF" w:val="clear"/>
        </w:rPr>
        <w:t>. The weighted-average grant date fair value of options granted during the</w:t>
      </w:r>
      <w:r>
        <w:rPr>
          <w:rFonts w:ascii="Times New Roman" w:hAnsi="Times New Roman"/>
          <w:caps w:val="false"/>
          <w:smallCaps w:val="false"/>
          <w:sz w:val="20"/>
        </w:rPr>
        <w:t>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r>
        <w:rPr>
          <w:rFonts w:ascii="Times New Roman" w:hAnsi="Times New Roman"/>
          <w:caps w:val="false"/>
          <w:smallCaps w:val="false"/>
          <w:sz w:val="20"/>
          <w:shd w:fill="FFFFFF" w:val="clear"/>
        </w:rPr>
        <w:t>was</w:t>
      </w:r>
      <w:r>
        <w:rPr>
          <w:rFonts w:ascii="Times New Roman" w:hAnsi="Times New Roman"/>
          <w:caps w:val="false"/>
          <w:smallCaps w:val="false"/>
          <w:sz w:val="20"/>
        </w:rPr>
        <w:t> $4.37 </w:t>
      </w:r>
      <w:r>
        <w:rPr>
          <w:rFonts w:ascii="Times New Roman" w:hAnsi="Times New Roman"/>
          <w:caps w:val="false"/>
          <w:smallCaps w:val="false"/>
          <w:sz w:val="20"/>
          <w:shd w:fill="FFFFFF" w:val="clear"/>
        </w:rPr>
        <w:t>and</w:t>
      </w:r>
      <w:r>
        <w:rPr>
          <w:rFonts w:ascii="Times New Roman" w:hAnsi="Times New Roman"/>
          <w:caps w:val="false"/>
          <w:smallCaps w:val="false"/>
          <w:sz w:val="20"/>
        </w:rPr>
        <w:t> $1.95 </w:t>
      </w:r>
      <w:r>
        <w:rPr>
          <w:rFonts w:ascii="Times New Roman" w:hAnsi="Times New Roman"/>
          <w:caps w:val="false"/>
          <w:smallCaps w:val="false"/>
          <w:sz w:val="20"/>
          <w:shd w:fill="FFFFFF" w:val="clear"/>
        </w:rPr>
        <w:t>per share, respectively. The weighted-average grant date fair value of RSUs awarded during the</w:t>
      </w:r>
      <w:r>
        <w:rPr>
          <w:rFonts w:ascii="Times New Roman" w:hAnsi="Times New Roman"/>
          <w:caps w:val="false"/>
          <w:smallCaps w:val="false"/>
          <w:sz w:val="20"/>
        </w:rPr>
        <w:t>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t>
      </w:r>
      <w:r>
        <w:rPr>
          <w:rFonts w:ascii="Times New Roman" w:hAnsi="Times New Roman"/>
          <w:caps w:val="false"/>
          <w:smallCaps w:val="false"/>
          <w:sz w:val="20"/>
          <w:shd w:fill="FFFFFF" w:val="clear"/>
        </w:rPr>
        <w:t>was</w:t>
      </w:r>
      <w:r>
        <w:rPr>
          <w:rFonts w:ascii="Times New Roman" w:hAnsi="Times New Roman"/>
          <w:caps w:val="false"/>
          <w:smallCaps w:val="false"/>
          <w:sz w:val="20"/>
        </w:rPr>
        <w:t> $6.87 </w:t>
      </w:r>
      <w:r>
        <w:rPr>
          <w:rFonts w:ascii="Times New Roman" w:hAnsi="Times New Roman"/>
          <w:caps w:val="false"/>
          <w:smallCaps w:val="false"/>
          <w:sz w:val="20"/>
          <w:shd w:fill="FFFFFF" w:val="clear"/>
        </w:rPr>
        <w:t>and</w:t>
      </w:r>
      <w:r>
        <w:rPr>
          <w:rFonts w:ascii="Times New Roman" w:hAnsi="Times New Roman"/>
          <w:caps w:val="false"/>
          <w:smallCaps w:val="false"/>
          <w:sz w:val="20"/>
        </w:rPr>
        <w:t> $3.31 </w:t>
      </w:r>
      <w:r>
        <w:rPr>
          <w:rFonts w:ascii="Times New Roman" w:hAnsi="Times New Roman"/>
          <w:caps w:val="false"/>
          <w:smallCaps w:val="false"/>
          <w:sz w:val="20"/>
          <w:shd w:fill="FFFFFF" w:val="clear"/>
        </w:rPr>
        <w:t>per share, respecti</w:t>
      </w:r>
      <w:r>
        <w:rPr>
          <w:rFonts w:ascii="Times New Roman" w:hAnsi="Times New Roman"/>
          <w:caps w:val="false"/>
          <w:smallCaps w:val="false"/>
          <w:sz w:val="20"/>
        </w:rPr>
        <w:t>vely.</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Restricted Stock Unit Roll Forward: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954" w:type="dxa"/>
        <w:jc w:val="left"/>
        <w:tblInd w:w="0" w:type="dxa"/>
        <w:tblLayout w:type="fixed"/>
        <w:tblCellMar>
          <w:top w:w="0" w:type="dxa"/>
          <w:left w:w="0" w:type="dxa"/>
          <w:bottom w:w="0" w:type="dxa"/>
          <w:right w:w="0" w:type="dxa"/>
        </w:tblCellMar>
      </w:tblPr>
      <w:tblGrid>
        <w:gridCol w:w="3245"/>
        <w:gridCol w:w="60"/>
        <w:gridCol w:w="60"/>
        <w:gridCol w:w="845"/>
        <w:gridCol w:w="80"/>
        <w:gridCol w:w="60"/>
        <w:gridCol w:w="876"/>
        <w:gridCol w:w="2668"/>
        <w:gridCol w:w="60"/>
      </w:tblGrid>
      <w:tr>
        <w:trPr/>
        <w:tc>
          <w:tcPr>
            <w:tcW w:w="3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5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Grant-Date Fair Value</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Nonvested shares at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1,334,973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66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1,445,400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7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(38,425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2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(694,664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2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Nonvested shares 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2,047,284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5.82</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11</w:t>
      </w:r>
      <w:r>
        <w:rPr>
          <w:rFonts w:ascii="Times New Roman" w:hAnsi="Times New Roman"/>
          <w:caps w:val="false"/>
          <w:smallCaps w:val="false"/>
          <w:sz w:val="20"/>
        </w:rPr>
        <w:t>—</w:t>
      </w:r>
      <w:r>
        <w:rPr>
          <w:rStyle w:val="Emphasis"/>
          <w:rFonts w:ascii="Times New Roman" w:hAnsi="Times New Roman"/>
          <w:b/>
          <w:caps w:val="false"/>
          <w:smallCaps w:val="false"/>
          <w:sz w:val="20"/>
        </w:rPr>
        <w:t>401</w:t>
      </w:r>
      <w:r>
        <w:rPr>
          <w:rFonts w:ascii="Times New Roman" w:hAnsi="Times New Roman"/>
          <w:b/>
          <w:caps w:val="false"/>
          <w:smallCaps w:val="false"/>
          <w:sz w:val="20"/>
        </w:rPr>
        <w:t>(k) Savings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the Company adopted a </w:t>
      </w:r>
      <w:r>
        <w:rPr>
          <w:rStyle w:val="Emphasis"/>
          <w:rFonts w:ascii="Times New Roman" w:hAnsi="Times New Roman"/>
          <w:caps w:val="false"/>
          <w:smallCaps w:val="false"/>
          <w:sz w:val="20"/>
        </w:rPr>
        <w:t>401</w:t>
      </w:r>
      <w:r>
        <w:rPr>
          <w:rFonts w:ascii="Times New Roman" w:hAnsi="Times New Roman"/>
          <w:caps w:val="false"/>
          <w:smallCaps w:val="false"/>
          <w:sz w:val="20"/>
        </w:rPr>
        <w:t xml:space="preserve">(k) savings plan for the benefit of its employees. The Company is required to make matching contributions to the </w:t>
      </w:r>
      <w:r>
        <w:rPr>
          <w:rStyle w:val="Emphasis"/>
          <w:rFonts w:ascii="Times New Roman" w:hAnsi="Times New Roman"/>
          <w:caps w:val="false"/>
          <w:smallCaps w:val="false"/>
          <w:sz w:val="20"/>
        </w:rPr>
        <w:t>401</w:t>
      </w:r>
      <w:r>
        <w:rPr>
          <w:rFonts w:ascii="Times New Roman" w:hAnsi="Times New Roman"/>
          <w:caps w:val="false"/>
          <w:smallCaps w:val="false"/>
          <w:sz w:val="20"/>
        </w:rPr>
        <w:t>(k) plan equal to 100% of the fi</w:t>
      </w:r>
      <w:r>
        <w:rPr>
          <w:rFonts w:ascii="Times New Roman" w:hAnsi="Times New Roman"/>
          <w:caps w:val="false"/>
          <w:smallCaps w:val="false"/>
          <w:sz w:val="20"/>
          <w:shd w:fill="FFFFFF" w:val="clear"/>
        </w:rPr>
        <w:t xml:space="preserve">rst </w:t>
      </w:r>
      <w:r>
        <w:rPr>
          <w:rStyle w:val="Emphasis"/>
          <w:rFonts w:ascii="Times New Roman" w:hAnsi="Times New Roman"/>
          <w:caps w:val="false"/>
          <w:smallCaps w:val="false"/>
          <w:sz w:val="20"/>
          <w:shd w:fill="FFFFFF" w:val="clear"/>
        </w:rPr>
        <w:t>3%</w:t>
      </w:r>
      <w:r>
        <w:rPr>
          <w:rFonts w:ascii="Times New Roman" w:hAnsi="Times New Roman"/>
          <w:caps w:val="false"/>
          <w:smallCaps w:val="false"/>
          <w:sz w:val="20"/>
          <w:shd w:fill="FFFFFF" w:val="clear"/>
        </w:rPr>
        <w:t xml:space="preserve"> of</w:t>
      </w:r>
      <w:r>
        <w:rPr>
          <w:rFonts w:ascii="Times New Roman" w:hAnsi="Times New Roman"/>
          <w:caps w:val="false"/>
          <w:smallCaps w:val="false"/>
          <w:sz w:val="20"/>
        </w:rPr>
        <w:t xml:space="preserve"> wages deferred by each participating employee and 50% on the next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of wages deferred by each participating employee. The Company incurred expenses for employer-matching contributions of approximately $1.1 million and $1.0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12</w:t>
      </w:r>
      <w:r>
        <w:rPr>
          <w:rFonts w:ascii="Times New Roman" w:hAnsi="Times New Roman"/>
          <w:caps w:val="false"/>
          <w:smallCaps w:val="false"/>
          <w:sz w:val="20"/>
        </w:rPr>
        <w:t>—</w:t>
      </w:r>
      <w:r>
        <w:rPr>
          <w:rFonts w:ascii="Times New Roman" w:hAnsi="Times New Roman"/>
          <w:b/>
          <w:caps w:val="false"/>
          <w:smallCaps w:val="false"/>
          <w:sz w:val="20"/>
        </w:rPr>
        <w:t>Commitments and 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Contractual Obligations: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Contractual obligations represent future cash commitments and liabilities under agreements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and exclude contingent liabilities for which the Company cannot reasonably predict future payment. The Company’s contractual obligations result primarily from obligations for various contract manufacturing organizations and clinical research organizations, which include potential payments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be required to make under its agreements. The contracts also contain variable costs and milestones that are hard to predict as they are based on such things as patients enrolled and clinical trial sites. The timing of payments and actual amounts paid under contract manufacturing organization (“CMO”) and CRO agreements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different depending on the timing of receipt of goods or services or changes to agreed-upon terms or amounts for some obligations. Also, those agreements are cancelable upon written notice by the Company and,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long-term liabilities.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caps w:val="false"/>
          <w:smallCaps w:val="false"/>
          <w:sz w:val="20"/>
        </w:rPr>
        <w:t>License Agreements: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Pfizer License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2011, </w:t>
      </w:r>
      <w:r>
        <w:rPr>
          <w:rFonts w:ascii="Times New Roman" w:hAnsi="Times New Roman"/>
          <w:caps w:val="false"/>
          <w:smallCaps w:val="false"/>
          <w:sz w:val="20"/>
        </w:rPr>
        <w:t xml:space="preserve">the Company entered into an agreement pursuant to which Pfizer agreed to grant it a worldwide license for the development, manufacture, and commercialization of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oral), </w:t>
      </w:r>
      <w:r>
        <w:rPr>
          <w:rStyle w:val="Emphasis"/>
          <w:rFonts w:ascii="Times New Roman" w:hAnsi="Times New Roman"/>
          <w:caps w:val="false"/>
          <w:smallCaps w:val="false"/>
          <w:sz w:val="20"/>
        </w:rPr>
        <w:t>PB272</w:t>
      </w:r>
      <w:r>
        <w:rPr>
          <w:rFonts w:ascii="Times New Roman" w:hAnsi="Times New Roman"/>
          <w:caps w:val="false"/>
          <w:smallCaps w:val="false"/>
          <w:sz w:val="20"/>
        </w:rPr>
        <w:t xml:space="preserve"> (neratinib, intravenous) and </w:t>
      </w:r>
      <w:r>
        <w:rPr>
          <w:rStyle w:val="Emphasis"/>
          <w:rFonts w:ascii="Times New Roman" w:hAnsi="Times New Roman"/>
          <w:caps w:val="false"/>
          <w:smallCaps w:val="false"/>
          <w:sz w:val="20"/>
        </w:rPr>
        <w:t>PB357,</w:t>
      </w:r>
      <w:r>
        <w:rPr>
          <w:rFonts w:ascii="Times New Roman" w:hAnsi="Times New Roman"/>
          <w:caps w:val="false"/>
          <w:smallCaps w:val="false"/>
          <w:sz w:val="20"/>
        </w:rPr>
        <w:t xml:space="preserve"> and certain related compounds. The license is exclusive with respect to certain patent rights owned by or licensed to Pfizer. Under the agreement, the Company is obligated to commence a new clinical trial for a product containing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these compounds within a specified period of time and to use commercially reasonable efforts to complete clinical trials and to achieve certain milestones as provided in a development plan. From the closing date of the agreement through </w:t>
      </w:r>
      <w:r>
        <w:rPr>
          <w:rStyle w:val="Emphasis"/>
          <w:rFonts w:ascii="Times New Roman" w:hAnsi="Times New Roman"/>
          <w:caps w:val="false"/>
          <w:smallCaps w:val="false"/>
          <w:sz w:val="20"/>
        </w:rPr>
        <w:t xml:space="preserve">December 31, 2011, </w:t>
      </w:r>
      <w:r>
        <w:rPr>
          <w:rFonts w:ascii="Times New Roman" w:hAnsi="Times New Roman"/>
          <w:caps w:val="false"/>
          <w:smallCaps w:val="false"/>
          <w:sz w:val="20"/>
        </w:rPr>
        <w:t xml:space="preserve">Pfizer continued to conduct the existing clinical trials on behalf of the Company at Pfizer’s sole expense. At the Company’s request, Pfizer agreed to continue to perform certain services in support of the existing clinical trials at the Company’s expense. These services would continue through the completion of the transitioned clinical trials. The license agreement “capped” the out-of-pocket expense the Company would incur to complete the then existing clinical trials. All agreed upon costs incurred by the Company above the “cost cap” would be reimbursed by Pfizer. The Company exceeded the “cost cap” during the </w:t>
      </w:r>
      <w:r>
        <w:rPr>
          <w:rStyle w:val="Emphasis"/>
          <w:rFonts w:ascii="Times New Roman" w:hAnsi="Times New Roman"/>
          <w:caps w:val="false"/>
          <w:smallCaps w:val="false"/>
          <w:sz w:val="20"/>
        </w:rPr>
        <w:t>fourth</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2012.</w:t>
      </w:r>
      <w:r>
        <w:rPr>
          <w:rFonts w:ascii="Times New Roman" w:hAnsi="Times New Roman"/>
          <w:caps w:val="false"/>
          <w:smallCaps w:val="false"/>
          <w:sz w:val="20"/>
        </w:rPr>
        <w:t xml:space="preserve"> In accordance with the license agreement, the Company billed Pfizer for agreed upon costs above the “cost cap” until </w:t>
      </w:r>
      <w:r>
        <w:rPr>
          <w:rStyle w:val="Emphasis"/>
          <w:rFonts w:ascii="Times New Roman" w:hAnsi="Times New Roman"/>
          <w:caps w:val="false"/>
          <w:smallCaps w:val="false"/>
          <w:sz w:val="20"/>
        </w:rPr>
        <w:t>December 31, 2013.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18, 2014, </w:t>
      </w:r>
      <w:r>
        <w:rPr>
          <w:rFonts w:ascii="Times New Roman" w:hAnsi="Times New Roman"/>
          <w:caps w:val="false"/>
          <w:smallCaps w:val="false"/>
          <w:sz w:val="20"/>
        </w:rPr>
        <w:t>the Company entered into an amendment to the license agreement with Pfizer. The amendment amends the agreement to (</w:t>
      </w:r>
      <w:r>
        <w:rPr>
          <w:rStyle w:val="Emphasis"/>
          <w:rFonts w:ascii="Times New Roman" w:hAnsi="Times New Roman"/>
          <w:caps w:val="false"/>
          <w:smallCaps w:val="false"/>
          <w:sz w:val="20"/>
        </w:rPr>
        <w:t>1</w:t>
      </w:r>
      <w:r>
        <w:rPr>
          <w:rFonts w:ascii="Times New Roman" w:hAnsi="Times New Roman"/>
          <w:caps w:val="false"/>
          <w:smallCaps w:val="false"/>
          <w:sz w:val="20"/>
        </w:rPr>
        <w:t>) reduce the royalty rate payable by the Company to Pfizer on sales of licensed products;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release Pfizer from its obligation to pay for certain out-of-pocket costs incurred or accrued on or after </w:t>
      </w:r>
      <w:r>
        <w:rPr>
          <w:rStyle w:val="Emphasis"/>
          <w:rFonts w:ascii="Times New Roman" w:hAnsi="Times New Roman"/>
          <w:caps w:val="false"/>
          <w:smallCaps w:val="false"/>
          <w:sz w:val="20"/>
        </w:rPr>
        <w:t xml:space="preserve">January 1, 2014 </w:t>
      </w:r>
      <w:r>
        <w:rPr>
          <w:rFonts w:ascii="Times New Roman" w:hAnsi="Times New Roman"/>
          <w:caps w:val="false"/>
          <w:smallCaps w:val="false"/>
          <w:sz w:val="20"/>
        </w:rPr>
        <w:t>to complete certain ongoing clinical studies; and (</w:t>
      </w:r>
      <w:r>
        <w:rPr>
          <w:rStyle w:val="Emphasis"/>
          <w:rFonts w:ascii="Times New Roman" w:hAnsi="Times New Roman"/>
          <w:caps w:val="false"/>
          <w:smallCaps w:val="false"/>
          <w:sz w:val="20"/>
        </w:rPr>
        <w:t>3</w:t>
      </w:r>
      <w:r>
        <w:rPr>
          <w:rFonts w:ascii="Times New Roman" w:hAnsi="Times New Roman"/>
          <w:caps w:val="false"/>
          <w:smallCaps w:val="false"/>
          <w:sz w:val="20"/>
        </w:rPr>
        <w:t>) provide that Pfizer and the Company will continue to cooperate to effect the transfer to the Company of certain records, regulatory filings, materials and inventory controlled by Pfizer as promptly as reasonably practicable.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 xml:space="preserve">As consideration for the license, the Company is required to make substantial payments upon the achievement of certain milestones totaling approximately $187.5 million if all such milestones are achieved. In connection with the FDA approval of NERLYNX in </w:t>
      </w:r>
      <w:r>
        <w:rPr>
          <w:rStyle w:val="Emphasis"/>
          <w:rFonts w:ascii="Times New Roman" w:hAnsi="Times New Roman"/>
          <w:caps w:val="false"/>
          <w:smallCaps w:val="false"/>
          <w:sz w:val="20"/>
        </w:rPr>
        <w:t xml:space="preserve">July </w:t>
      </w:r>
      <w:r>
        <w:rPr>
          <w:rFonts w:ascii="Times New Roman" w:hAnsi="Times New Roman"/>
          <w:caps w:val="false"/>
          <w:smallCaps w:val="false"/>
          <w:sz w:val="20"/>
        </w:rPr>
        <w:t xml:space="preserve">of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the Company triggered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pursuant to the agreement. In </w:t>
      </w:r>
      <w:r>
        <w:rPr>
          <w:rStyle w:val="Emphasis"/>
          <w:rFonts w:ascii="Times New Roman" w:hAnsi="Times New Roman"/>
          <w:caps w:val="false"/>
          <w:smallCaps w:val="false"/>
          <w:sz w:val="20"/>
        </w:rPr>
        <w:t xml:space="preserve">June 2020, </w:t>
      </w:r>
      <w:r>
        <w:rPr>
          <w:rFonts w:ascii="Times New Roman" w:hAnsi="Times New Roman"/>
          <w:caps w:val="false"/>
          <w:smallCaps w:val="false"/>
          <w:sz w:val="20"/>
        </w:rPr>
        <w:t xml:space="preserve">the Company entered into a letter agreement (the “Letter Agreement”) with Pfizer relating to the method of payment associated with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-time milestone payment under the license agreement with Pfizer. The Letter Agreement permitted the Company to make the milestone payment in installments with the remaining amount payable to Pfizer (including interest). The milestone payment accrued interest at 6.25% per annum. The milestone payment including accrued interest of $1.8 million was paid in full in </w:t>
      </w:r>
      <w:r>
        <w:rPr>
          <w:rStyle w:val="Emphasis"/>
          <w:rFonts w:ascii="Times New Roman" w:hAnsi="Times New Roman"/>
          <w:caps w:val="false"/>
          <w:smallCaps w:val="false"/>
          <w:sz w:val="20"/>
        </w:rPr>
        <w:t>September 2021. </w:t>
      </w:r>
      <w:r>
        <w:rPr>
          <w:rFonts w:ascii="Times New Roman" w:hAnsi="Times New Roman"/>
          <w:caps w:val="false"/>
          <w:smallCaps w:val="false"/>
          <w:sz w:val="20"/>
        </w:rPr>
        <w:t>In addition, the Company reached a commercial milestone by achieving aggregate worldwide net sales of $250.0 million in calendar year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resulting in a payment to Pfizer of $12.5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March 31,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Company capitalized the milestones as intangible assets and is amortizing the assets to cost of sales on a straight-line basis over the estimated useful life of the licensed patent through </w:t>
      </w:r>
      <w:r>
        <w:rPr>
          <w:rStyle w:val="Emphasis"/>
          <w:rFonts w:ascii="Times New Roman" w:hAnsi="Times New Roman"/>
          <w:caps w:val="false"/>
          <w:smallCaps w:val="false"/>
          <w:sz w:val="20"/>
        </w:rPr>
        <w:t>2030.</w:t>
      </w:r>
      <w:r>
        <w:rPr>
          <w:rFonts w:ascii="Times New Roman" w:hAnsi="Times New Roman"/>
          <w:caps w:val="false"/>
          <w:smallCaps w:val="false"/>
          <w:sz w:val="20"/>
        </w:rPr>
        <w:t> Should the Company commercialize any more of the compounds licensed from Pfizer or any products containing any of these compounds, the Company will be obligated to pay Pfizer annual royalties at a fixed rate in the low-to-mid teens of net sales of all such products, subject to certain reductions and offsets in some circumstances. The Company’s royalty obligation continues, on a product-by-product and country-by-country basis, until the later of (</w:t>
      </w:r>
      <w:r>
        <w:rPr>
          <w:rStyle w:val="Emphasis"/>
          <w:rFonts w:ascii="Times New Roman" w:hAnsi="Times New Roman"/>
          <w:caps w:val="false"/>
          <w:smallCaps w:val="false"/>
          <w:sz w:val="20"/>
        </w:rPr>
        <w:t>1</w:t>
      </w:r>
      <w:r>
        <w:rPr>
          <w:rFonts w:ascii="Times New Roman" w:hAnsi="Times New Roman"/>
          <w:caps w:val="false"/>
          <w:smallCaps w:val="false"/>
          <w:sz w:val="20"/>
        </w:rPr>
        <w:t>) the last to expire licensed patent covering the applicable licensed product in such country,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earlier of generic competition for such licensed product reaching a certain level in such country or expiration of a certain time period after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commercial sale of such licensed product in such country. In the event that the Company sub-licenses the rights granted to the Company under the license agreement with Pfizer 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party, the same milestone and royalty payments are required. The Company can terminate the license agreement at will, or for safety concerns, in each case upon specified advance notice.</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rPr>
        <w:t>Takeda License Agreement</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2022, </w:t>
      </w:r>
      <w:r>
        <w:rPr>
          <w:rFonts w:ascii="Times New Roman" w:hAnsi="Times New Roman"/>
          <w:caps w:val="false"/>
          <w:smallCaps w:val="false"/>
          <w:sz w:val="20"/>
        </w:rPr>
        <w:t xml:space="preserve">the Company entered into an exclusive license agreement with Takeda to license the worldwide research and development and commercial rights to alisertib, a selective, small-molecule, orally administered inhibitor of Aurora Kinase A. Under the terms of the exclusive license agreement, the Company will assume sole responsibility for the global development and commercialization of alisertib. Takeda received an upfront license fee of $7.0 million in </w:t>
      </w:r>
      <w:r>
        <w:rPr>
          <w:rStyle w:val="Emphasis"/>
          <w:rFonts w:ascii="Times New Roman" w:hAnsi="Times New Roman"/>
          <w:caps w:val="false"/>
          <w:smallCaps w:val="false"/>
          <w:sz w:val="20"/>
        </w:rPr>
        <w:t xml:space="preserve">October 2022 </w:t>
      </w:r>
      <w:r>
        <w:rPr>
          <w:rFonts w:ascii="Times New Roman" w:hAnsi="Times New Roman"/>
          <w:caps w:val="false"/>
          <w:smallCaps w:val="false"/>
          <w:sz w:val="20"/>
        </w:rPr>
        <w:t xml:space="preserve">and is eligible to receive potential future milestone payments of up to $287.3 million upon the Company’s achievement of certain regulatory and commercial milestones over the course of the exclusive license agreement, as well as tiered royalty payments for any net sales of alisertib.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milestones were achieved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b/>
          <w:sz w:val="20"/>
          <w:shd w:fill="FFFFFF" w:val="clear"/>
        </w:rPr>
        <w:t>Legal Proceedings:</w:t>
      </w:r>
      <w:r>
        <w:rPr>
          <w:rFonts w:ascii="Times New Roman;Times;serif" w:hAnsi="Times New Roman;Times;serif"/>
          <w:sz w:val="20"/>
          <w:shd w:fill="FFFFFF" w:val="clear"/>
        </w:rPr>
        <w:t> </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 xml:space="preserve">The Company records a liability in the consolidated financial statements for loss contingencies when a loss is known or considered probable and the amount can be reasonably estimated. If the reasonable estimate of a known or probable loss is a range, and </w:t>
      </w:r>
      <w:r>
        <w:rPr>
          <w:rStyle w:val="Emphasis"/>
          <w:rFonts w:ascii="Times New Roman" w:hAnsi="Times New Roman"/>
          <w:caps w:val="false"/>
          <w:smallCaps w:val="false"/>
          <w:sz w:val="20"/>
          <w:shd w:fill="FFFFFF" w:val="clear"/>
        </w:rPr>
        <w:t>no</w:t>
      </w:r>
      <w:r>
        <w:rPr>
          <w:rFonts w:ascii="Times New Roman" w:hAnsi="Times New Roman"/>
          <w:caps w:val="false"/>
          <w:smallCaps w:val="false"/>
          <w:sz w:val="20"/>
          <w:shd w:fill="FFFFFF" w:val="clear"/>
        </w:rPr>
        <w:t xml:space="preserve"> amount within the range is a better estimate than any other, the minimum amount of the range is accrued. If a loss is reasonably possible but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known or probable, and can be reasonably estimated, the estimated loss or range of loss is disclosed. When determining the estimated loss or range of loss, significant judgment is required to estimate the amount and timing of a loss to be recorded. Legal accruals are adjusted as developments warrant. </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shd w:fill="FFFFFF" w:val="clear"/>
        </w:rPr>
        <w:t>Legal Malpractice Suit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shd w:fill="FFFFFF" w:val="clear"/>
        </w:rPr>
        <w:t>On </w:t>
      </w:r>
      <w:r>
        <w:rPr>
          <w:rStyle w:val="Emphasis"/>
          <w:rFonts w:ascii="Times New Roman" w:hAnsi="Times New Roman"/>
          <w:caps w:val="false"/>
          <w:smallCaps w:val="false"/>
          <w:sz w:val="20"/>
          <w:shd w:fill="FFFFFF" w:val="clear"/>
        </w:rPr>
        <w:t xml:space="preserve"> September 17, 2020, </w:t>
      </w:r>
      <w:r>
        <w:rPr>
          <w:rFonts w:ascii="Times New Roman" w:hAnsi="Times New Roman"/>
          <w:caps w:val="false"/>
          <w:smallCaps w:val="false"/>
          <w:sz w:val="20"/>
          <w:shd w:fill="FFFFFF" w:val="clear"/>
        </w:rPr>
        <w:t xml:space="preserve">the Company filed a lawsuit against Hedrick Gardner Kincheloe &amp; Garofalo, L.L.P. and David L. Levy, the attorneys who previously represented the Company in </w:t>
      </w:r>
      <w:r>
        <w:rPr>
          <w:rFonts w:ascii="Times New Roman" w:hAnsi="Times New Roman"/>
          <w:i/>
          <w:caps w:val="false"/>
          <w:smallCaps w:val="false"/>
          <w:sz w:val="20"/>
          <w:shd w:fill="FFFFFF" w:val="clear"/>
        </w:rPr>
        <w:t>Eshelman v. Puma Biotechnology, Inc., et al</w:t>
      </w:r>
      <w:r>
        <w:rPr>
          <w:rFonts w:ascii="Times New Roman" w:hAnsi="Times New Roman"/>
          <w:caps w:val="false"/>
          <w:smallCaps w:val="false"/>
          <w:sz w:val="20"/>
          <w:shd w:fill="FFFFFF" w:val="clear"/>
        </w:rPr>
        <w:t xml:space="preserve">.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shd w:fill="FFFFFF" w:val="clear"/>
        </w:rPr>
        <w:t>Eshelman v. Puma Biotechnology, Inc., et al</w:t>
      </w:r>
      <w:r>
        <w:rPr>
          <w:rFonts w:ascii="Times New Roman" w:hAnsi="Times New Roman"/>
          <w:caps w:val="false"/>
          <w:smallCaps w:val="false"/>
          <w:sz w:val="20"/>
          <w:shd w:fill="FFFFFF" w:val="clear"/>
        </w:rPr>
        <w:t xml:space="preserve">. The Company is seeking recovery of the entire amount awarded in </w:t>
      </w:r>
      <w:r>
        <w:rPr>
          <w:rFonts w:ascii="Times New Roman" w:hAnsi="Times New Roman"/>
          <w:i/>
          <w:caps w:val="false"/>
          <w:smallCaps w:val="false"/>
          <w:sz w:val="20"/>
          <w:shd w:fill="FFFFFF" w:val="clear"/>
        </w:rPr>
        <w:t>Eshelman v. Puma Biotechnology, Inc., et al</w:t>
      </w:r>
      <w:r>
        <w:rPr>
          <w:rFonts w:ascii="Times New Roman" w:hAnsi="Times New Roman"/>
          <w:caps w:val="false"/>
          <w:smallCaps w:val="false"/>
          <w:sz w:val="20"/>
          <w:shd w:fill="FFFFFF" w:val="clear"/>
        </w:rPr>
        <w:t>. and all legal fees and expenses incurred in appealing from the judgment and retrying the damages phase of the trial. On </w:t>
      </w:r>
      <w:r>
        <w:rPr>
          <w:rStyle w:val="Emphasis"/>
          <w:rFonts w:ascii="Times New Roman" w:hAnsi="Times New Roman"/>
          <w:caps w:val="false"/>
          <w:smallCaps w:val="false"/>
          <w:sz w:val="20"/>
          <w:shd w:fill="FFFFFF" w:val="clear"/>
        </w:rPr>
        <w:t xml:space="preserve"> November 23, 2020, </w:t>
      </w:r>
      <w:r>
        <w:rPr>
          <w:rFonts w:ascii="Times New Roman" w:hAnsi="Times New Roman"/>
          <w:caps w:val="false"/>
          <w:smallCaps w:val="false"/>
          <w:sz w:val="20"/>
          <w:shd w:fill="FFFFFF" w:val="clear"/>
        </w:rPr>
        <w:t xml:space="preserve">the defendant filed an answer to the complaint denying the allegations of negligence. On </w:t>
      </w:r>
      <w:r>
        <w:rPr>
          <w:rStyle w:val="Emphasis"/>
          <w:rFonts w:ascii="Times New Roman" w:hAnsi="Times New Roman"/>
          <w:caps w:val="false"/>
          <w:smallCaps w:val="false"/>
          <w:sz w:val="20"/>
          <w:shd w:fill="FFFFFF" w:val="clear"/>
        </w:rPr>
        <w:t xml:space="preserve">August 19, 2022, </w:t>
      </w:r>
      <w:r>
        <w:rPr>
          <w:rFonts w:ascii="Times New Roman" w:hAnsi="Times New Roman"/>
          <w:caps w:val="false"/>
          <w:smallCaps w:val="false"/>
          <w:sz w:val="20"/>
          <w:shd w:fill="FFFFFF" w:val="clear"/>
        </w:rPr>
        <w:t xml:space="preserve">the Company filed a voluntary dismissal of the legal malpractice action, without prejudice, to allow the </w:t>
      </w:r>
      <w:r>
        <w:rPr>
          <w:rFonts w:ascii="Times New Roman" w:hAnsi="Times New Roman"/>
          <w:i/>
          <w:caps w:val="false"/>
          <w:smallCaps w:val="false"/>
          <w:sz w:val="20"/>
          <w:shd w:fill="FFFFFF" w:val="clear"/>
        </w:rPr>
        <w:t>Eshelman v. Puma Biotechnology, Inc., et al</w:t>
      </w:r>
      <w:r>
        <w:rPr>
          <w:rFonts w:ascii="Times New Roman" w:hAnsi="Times New Roman"/>
          <w:caps w:val="false"/>
          <w:smallCaps w:val="false"/>
          <w:sz w:val="20"/>
          <w:shd w:fill="FFFFFF" w:val="clear"/>
        </w:rPr>
        <w:t xml:space="preserve">. to conclude before proceedings. On </w:t>
      </w:r>
      <w:r>
        <w:rPr>
          <w:rStyle w:val="Emphasis"/>
          <w:rFonts w:ascii="Times New Roman" w:hAnsi="Times New Roman"/>
          <w:caps w:val="false"/>
          <w:smallCaps w:val="false"/>
          <w:sz w:val="20"/>
          <w:shd w:fill="FFFFFF" w:val="clear"/>
        </w:rPr>
        <w:t xml:space="preserve">June 2, 2023, </w:t>
      </w:r>
      <w:r>
        <w:rPr>
          <w:rFonts w:ascii="Times New Roman" w:hAnsi="Times New Roman"/>
          <w:caps w:val="false"/>
          <w:smallCaps w:val="false"/>
          <w:sz w:val="20"/>
          <w:shd w:fill="FFFFFF" w:val="clear"/>
        </w:rPr>
        <w:t xml:space="preserve">the Company re-filed the lawsuit against Hedrick Gardner Kincheloe &amp; Garofalo, L.L.P. and David L. Levy, the attorneys who previously represented the Company in </w:t>
      </w:r>
      <w:r>
        <w:rPr>
          <w:rFonts w:ascii="Times New Roman" w:hAnsi="Times New Roman"/>
          <w:i/>
          <w:caps w:val="false"/>
          <w:smallCaps w:val="false"/>
          <w:sz w:val="20"/>
          <w:shd w:fill="FFFFFF" w:val="clear"/>
        </w:rPr>
        <w:t>Eshelman v. Puma Biotechnology, Inc., et al.</w:t>
      </w:r>
      <w:r>
        <w:rPr>
          <w:rFonts w:ascii="Times New Roman" w:hAnsi="Times New Roman"/>
          <w:caps w:val="false"/>
          <w:smallCaps w:val="false"/>
          <w:sz w:val="20"/>
          <w:shd w:fill="FFFFFF" w:val="clear"/>
        </w:rPr>
        <w:t xml:space="preserve"> in the Superior Court of Mecklenburg County, North Carolina. On </w:t>
      </w:r>
      <w:r>
        <w:rPr>
          <w:rStyle w:val="Emphasis"/>
          <w:rFonts w:ascii="Times New Roman" w:hAnsi="Times New Roman"/>
          <w:caps w:val="false"/>
          <w:smallCaps w:val="false"/>
          <w:sz w:val="20"/>
          <w:shd w:fill="FFFFFF" w:val="clear"/>
        </w:rPr>
        <w:t xml:space="preserve">August 22, 2023, </w:t>
      </w:r>
      <w:r>
        <w:rPr>
          <w:rFonts w:ascii="Times New Roman" w:hAnsi="Times New Roman"/>
          <w:caps w:val="false"/>
          <w:smallCaps w:val="false"/>
          <w:sz w:val="20"/>
          <w:shd w:fill="FFFFFF" w:val="clear"/>
        </w:rPr>
        <w:t xml:space="preserve">the defendants filed motions to dismiss the case. These motions were presented at a hearing on </w:t>
      </w:r>
      <w:r>
        <w:rPr>
          <w:rStyle w:val="Emphasis"/>
          <w:rFonts w:ascii="Times New Roman" w:hAnsi="Times New Roman"/>
          <w:caps w:val="false"/>
          <w:smallCaps w:val="false"/>
          <w:sz w:val="20"/>
          <w:shd w:fill="FFFFFF" w:val="clear"/>
        </w:rPr>
        <w:t xml:space="preserve">February 20, 2024. </w:t>
      </w:r>
      <w:r>
        <w:rPr>
          <w:rFonts w:ascii="Times New Roman" w:hAnsi="Times New Roman"/>
          <w:caps w:val="false"/>
          <w:smallCaps w:val="false"/>
          <w:sz w:val="20"/>
          <w:shd w:fill="FFFFFF" w:val="clear"/>
        </w:rPr>
        <w:t xml:space="preserve">The Superior Court Judge granted the motions to dismiss on </w:t>
      </w:r>
      <w:r>
        <w:rPr>
          <w:rStyle w:val="Emphasis"/>
          <w:rFonts w:ascii="Times New Roman" w:hAnsi="Times New Roman"/>
          <w:caps w:val="false"/>
          <w:smallCaps w:val="false"/>
          <w:sz w:val="20"/>
          <w:shd w:fill="FFFFFF" w:val="clear"/>
        </w:rPr>
        <w:t xml:space="preserve">March 20, 2024. </w:t>
      </w:r>
      <w:r>
        <w:rPr>
          <w:rFonts w:ascii="Times New Roman" w:hAnsi="Times New Roman"/>
          <w:caps w:val="false"/>
          <w:smallCaps w:val="false"/>
          <w:sz w:val="20"/>
          <w:shd w:fill="FFFFFF" w:val="clear"/>
        </w:rPr>
        <w:t xml:space="preserve">The Company appealed this ruling to the North Carolina Court of Appeals. On </w:t>
      </w:r>
      <w:r>
        <w:rPr>
          <w:rStyle w:val="Emphasis"/>
          <w:rFonts w:ascii="Times New Roman" w:hAnsi="Times New Roman"/>
          <w:caps w:val="false"/>
          <w:smallCaps w:val="false"/>
          <w:sz w:val="20"/>
          <w:shd w:fill="FFFFFF" w:val="clear"/>
        </w:rPr>
        <w:t xml:space="preserve">September 3, 2025, </w:t>
      </w:r>
      <w:r>
        <w:rPr>
          <w:rFonts w:ascii="Times New Roman" w:hAnsi="Times New Roman"/>
          <w:caps w:val="false"/>
          <w:smallCaps w:val="false"/>
          <w:sz w:val="20"/>
          <w:shd w:fill="FFFFFF" w:val="clear"/>
        </w:rPr>
        <w:t xml:space="preserve">the Court of Appeals reversed the dismissal of the Company’s claim for legal malpractice and remanded the case to the Superior Court for further proceedings. The defendants filed a petition for discretionary review of this decision by the North Carolina Supreme Court on </w:t>
      </w:r>
      <w:r>
        <w:rPr>
          <w:rStyle w:val="Emphasis"/>
          <w:rFonts w:ascii="Times New Roman" w:hAnsi="Times New Roman"/>
          <w:caps w:val="false"/>
          <w:smallCaps w:val="false"/>
          <w:sz w:val="20"/>
          <w:shd w:fill="FFFFFF" w:val="clear"/>
        </w:rPr>
        <w:t xml:space="preserve">October 8, 2025. </w:t>
      </w:r>
      <w:r>
        <w:rPr>
          <w:rFonts w:ascii="Times New Roman" w:hAnsi="Times New Roman"/>
          <w:caps w:val="false"/>
          <w:smallCaps w:val="false"/>
          <w:sz w:val="20"/>
          <w:shd w:fill="FFFFFF" w:val="clear"/>
        </w:rPr>
        <w:t xml:space="preserve">The Supreme Court has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decided whether to accept the case for review.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shd w:fill="FFFFFF" w:val="clear"/>
        </w:rPr>
        <w:t>Patent-Related Proceedings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AstraZeneca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September 22, 2021, </w:t>
      </w:r>
      <w:r>
        <w:rPr>
          <w:rFonts w:ascii="Times New Roman" w:hAnsi="Times New Roman"/>
          <w:caps w:val="false"/>
          <w:smallCaps w:val="false"/>
          <w:sz w:val="20"/>
          <w:shd w:fill="FFFFFF" w:val="clear"/>
        </w:rPr>
        <w:t xml:space="preserve">the Company filed suit against AstraZeneca Pharmaceuticals, LP, AstraZeneca AB, and AstraZeneca PLC for infringement of United States Patent Nos. </w:t>
      </w:r>
      <w:r>
        <w:rPr>
          <w:rStyle w:val="Emphasis"/>
          <w:rFonts w:ascii="Times New Roman" w:hAnsi="Times New Roman"/>
          <w:caps w:val="false"/>
          <w:smallCaps w:val="false"/>
          <w:sz w:val="20"/>
          <w:shd w:fill="FFFFFF" w:val="clear"/>
        </w:rPr>
        <w:t>10,603,314</w:t>
      </w:r>
      <w:r>
        <w:rPr>
          <w:rFonts w:ascii="Times New Roman" w:hAnsi="Times New Roman"/>
          <w:caps w:val="false"/>
          <w:smallCaps w:val="false"/>
          <w:sz w:val="20"/>
          <w:shd w:fill="FFFFFF" w:val="clear"/>
        </w:rPr>
        <w:t xml:space="preserve"> (“the </w:t>
      </w:r>
      <w:r>
        <w:rPr>
          <w:rStyle w:val="Emphasis"/>
          <w:rFonts w:ascii="Times New Roman" w:hAnsi="Times New Roman"/>
          <w:caps w:val="false"/>
          <w:smallCaps w:val="false"/>
          <w:sz w:val="20"/>
          <w:shd w:fill="FFFFFF" w:val="clear"/>
        </w:rPr>
        <w:t>‘314</w:t>
      </w:r>
      <w:r>
        <w:rPr>
          <w:rFonts w:ascii="Times New Roman" w:hAnsi="Times New Roman"/>
          <w:caps w:val="false"/>
          <w:smallCaps w:val="false"/>
          <w:sz w:val="20"/>
          <w:shd w:fill="FFFFFF" w:val="clear"/>
        </w:rPr>
        <w:t xml:space="preserve"> patent”) and </w:t>
      </w:r>
      <w:r>
        <w:rPr>
          <w:rStyle w:val="Emphasis"/>
          <w:rFonts w:ascii="Times New Roman" w:hAnsi="Times New Roman"/>
          <w:caps w:val="false"/>
          <w:smallCaps w:val="false"/>
          <w:sz w:val="20"/>
          <w:shd w:fill="FFFFFF" w:val="clear"/>
        </w:rPr>
        <w:t>10,596,162</w:t>
      </w:r>
      <w:r>
        <w:rPr>
          <w:rFonts w:ascii="Times New Roman" w:hAnsi="Times New Roman"/>
          <w:caps w:val="false"/>
          <w:smallCaps w:val="false"/>
          <w:sz w:val="20"/>
          <w:shd w:fill="FFFFFF" w:val="clear"/>
        </w:rPr>
        <w:t xml:space="preserve"> (“the </w:t>
      </w:r>
      <w:r>
        <w:rPr>
          <w:rStyle w:val="Emphasis"/>
          <w:rFonts w:ascii="Times New Roman" w:hAnsi="Times New Roman"/>
          <w:caps w:val="false"/>
          <w:smallCaps w:val="false"/>
          <w:sz w:val="20"/>
          <w:shd w:fill="FFFFFF" w:val="clear"/>
        </w:rPr>
        <w:t>‘162</w:t>
      </w:r>
      <w:r>
        <w:rPr>
          <w:rFonts w:ascii="Times New Roman" w:hAnsi="Times New Roman"/>
          <w:caps w:val="false"/>
          <w:smallCaps w:val="false"/>
          <w:sz w:val="20"/>
          <w:shd w:fill="FFFFFF" w:val="clear"/>
        </w:rPr>
        <w:t xml:space="preserve"> patent”) (</w:t>
      </w:r>
      <w:r>
        <w:rPr>
          <w:rFonts w:ascii="Times New Roman" w:hAnsi="Times New Roman"/>
          <w:i/>
          <w:caps w:val="false"/>
          <w:smallCaps w:val="false"/>
          <w:sz w:val="20"/>
          <w:shd w:fill="FFFFFF" w:val="clear"/>
        </w:rPr>
        <w:t>Puma Biotechnology, Inc. et al. v. AstraZeneca Pharmaceuticals LP et al</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1:21CV01338</w:t>
      </w:r>
      <w:r>
        <w:rPr>
          <w:rFonts w:ascii="Times New Roman" w:hAnsi="Times New Roman"/>
          <w:caps w:val="false"/>
          <w:smallCaps w:val="false"/>
          <w:sz w:val="20"/>
          <w:shd w:fill="FFFFFF" w:val="clear"/>
        </w:rPr>
        <w:t xml:space="preserve"> (D. Del. </w:t>
      </w:r>
      <w:r>
        <w:rPr>
          <w:rStyle w:val="Emphasis"/>
          <w:rFonts w:ascii="Times New Roman" w:hAnsi="Times New Roman"/>
          <w:caps w:val="false"/>
          <w:smallCaps w:val="false"/>
          <w:sz w:val="20"/>
          <w:shd w:fill="FFFFFF" w:val="clear"/>
        </w:rPr>
        <w:t xml:space="preserve">Sep. 22, 2021)). </w:t>
      </w:r>
      <w:r>
        <w:rPr>
          <w:rFonts w:ascii="Times New Roman" w:hAnsi="Times New Roman"/>
          <w:caps w:val="false"/>
          <w:smallCaps w:val="false"/>
          <w:sz w:val="20"/>
          <w:shd w:fill="FFFFFF" w:val="clear"/>
        </w:rPr>
        <w:t xml:space="preserve">The Company’s complaint alleges that AstraZeneca’s commercial manufacture, use, offer for sale, sale, distribution, and/or importation of Tagrisso® (osimertinib) products for the treatment of gefitinib and/or erlotinib-resistant non-small cell lung cancer infringes the </w:t>
      </w:r>
      <w:r>
        <w:rPr>
          <w:rStyle w:val="Emphasis"/>
          <w:rFonts w:ascii="Times New Roman" w:hAnsi="Times New Roman"/>
          <w:caps w:val="false"/>
          <w:smallCaps w:val="false"/>
          <w:sz w:val="20"/>
          <w:shd w:fill="FFFFFF" w:val="clear"/>
        </w:rPr>
        <w:t>‘314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‘162</w:t>
      </w:r>
      <w:r>
        <w:rPr>
          <w:rFonts w:ascii="Times New Roman" w:hAnsi="Times New Roman"/>
          <w:caps w:val="false"/>
          <w:smallCaps w:val="false"/>
          <w:sz w:val="20"/>
          <w:shd w:fill="FFFFFF" w:val="clear"/>
        </w:rPr>
        <w:t xml:space="preserve"> patents. The Company is an exclusive licensee of the </w:t>
      </w:r>
      <w:r>
        <w:rPr>
          <w:rStyle w:val="Emphasis"/>
          <w:rFonts w:ascii="Times New Roman" w:hAnsi="Times New Roman"/>
          <w:caps w:val="false"/>
          <w:smallCaps w:val="false"/>
          <w:sz w:val="20"/>
          <w:shd w:fill="FFFFFF" w:val="clear"/>
        </w:rPr>
        <w:t>‘314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‘162</w:t>
      </w:r>
      <w:r>
        <w:rPr>
          <w:rFonts w:ascii="Times New Roman" w:hAnsi="Times New Roman"/>
          <w:caps w:val="false"/>
          <w:smallCaps w:val="false"/>
          <w:sz w:val="20"/>
          <w:shd w:fill="FFFFFF" w:val="clear"/>
        </w:rPr>
        <w:t xml:space="preserve">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w:t>
      </w:r>
      <w:r>
        <w:rPr>
          <w:rStyle w:val="Emphasis"/>
          <w:rFonts w:ascii="Times New Roman" w:hAnsi="Times New Roman"/>
          <w:caps w:val="false"/>
          <w:smallCaps w:val="false"/>
          <w:sz w:val="20"/>
          <w:shd w:fill="FFFFFF" w:val="clear"/>
        </w:rPr>
        <w:t xml:space="preserve">November 5, 2021, </w:t>
      </w:r>
      <w:r>
        <w:rPr>
          <w:rFonts w:ascii="Times New Roman" w:hAnsi="Times New Roman"/>
          <w:caps w:val="false"/>
          <w:smallCaps w:val="false"/>
          <w:sz w:val="20"/>
          <w:shd w:fill="FFFFFF" w:val="clear"/>
        </w:rPr>
        <w:t xml:space="preserve">including claims challenging the asserted patents as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infringed and/or invalid, and accusing plaintiffs of unclean hands and patent misuse. The parties stipulated to dismiss AstraZeneca PLC as a defendant and Pfizer as a Counterclaim Defendant on </w:t>
      </w:r>
      <w:r>
        <w:rPr>
          <w:rStyle w:val="Emphasis"/>
          <w:rFonts w:ascii="Times New Roman" w:hAnsi="Times New Roman"/>
          <w:caps w:val="false"/>
          <w:smallCaps w:val="false"/>
          <w:sz w:val="20"/>
          <w:shd w:fill="FFFFFF" w:val="clear"/>
        </w:rPr>
        <w:t xml:space="preserve">December 10, 2021, </w:t>
      </w:r>
      <w:r>
        <w:rPr>
          <w:rFonts w:ascii="Times New Roman" w:hAnsi="Times New Roman"/>
          <w:caps w:val="false"/>
          <w:smallCaps w:val="false"/>
          <w:sz w:val="20"/>
          <w:shd w:fill="FFFFFF" w:val="clear"/>
        </w:rPr>
        <w:t xml:space="preserve">which the Court so ordered on </w:t>
      </w:r>
      <w:r>
        <w:rPr>
          <w:rStyle w:val="Emphasis"/>
          <w:rFonts w:ascii="Times New Roman" w:hAnsi="Times New Roman"/>
          <w:caps w:val="false"/>
          <w:smallCaps w:val="false"/>
          <w:sz w:val="20"/>
          <w:shd w:fill="FFFFFF" w:val="clear"/>
        </w:rPr>
        <w:t xml:space="preserve">December 13, 2021. </w:t>
      </w:r>
      <w:r>
        <w:rPr>
          <w:rFonts w:ascii="Times New Roman" w:hAnsi="Times New Roman"/>
          <w:caps w:val="false"/>
          <w:smallCaps w:val="false"/>
          <w:sz w:val="20"/>
          <w:shd w:fill="FFFFFF" w:val="clear"/>
        </w:rPr>
        <w:t xml:space="preserve">The Company filed its answer to AstraZeneca’s counterclaims on </w:t>
      </w:r>
      <w:r>
        <w:rPr>
          <w:rStyle w:val="Emphasis"/>
          <w:rFonts w:ascii="Times New Roman" w:hAnsi="Times New Roman"/>
          <w:caps w:val="false"/>
          <w:smallCaps w:val="false"/>
          <w:sz w:val="20"/>
          <w:shd w:fill="FFFFFF" w:val="clear"/>
        </w:rPr>
        <w:t xml:space="preserve">December 17, 2021, </w:t>
      </w:r>
      <w:r>
        <w:rPr>
          <w:rFonts w:ascii="Times New Roman" w:hAnsi="Times New Roman"/>
          <w:caps w:val="false"/>
          <w:smallCaps w:val="false"/>
          <w:sz w:val="20"/>
          <w:shd w:fill="FFFFFF" w:val="clear"/>
        </w:rPr>
        <w:t xml:space="preserve">denying those claims. The case was reassigned to visiting Judge Matthew Kennelly of the Northern District of Illinois. A Markman Hearing was conducted on </w:t>
      </w:r>
      <w:r>
        <w:rPr>
          <w:rStyle w:val="Emphasis"/>
          <w:rFonts w:ascii="Times New Roman" w:hAnsi="Times New Roman"/>
          <w:caps w:val="false"/>
          <w:smallCaps w:val="false"/>
          <w:sz w:val="20"/>
          <w:shd w:fill="FFFFFF" w:val="clear"/>
        </w:rPr>
        <w:t xml:space="preserve">March 17, 2023, </w:t>
      </w:r>
      <w:r>
        <w:rPr>
          <w:rFonts w:ascii="Times New Roman" w:hAnsi="Times New Roman"/>
          <w:caps w:val="false"/>
          <w:smallCaps w:val="false"/>
          <w:sz w:val="20"/>
          <w:shd w:fill="FFFFFF" w:val="clear"/>
        </w:rPr>
        <w:t xml:space="preserve">and the Court issued its claim construction decision on </w:t>
      </w:r>
      <w:r>
        <w:rPr>
          <w:rStyle w:val="Emphasis"/>
          <w:rFonts w:ascii="Times New Roman" w:hAnsi="Times New Roman"/>
          <w:caps w:val="false"/>
          <w:smallCaps w:val="false"/>
          <w:sz w:val="20"/>
          <w:shd w:fill="FFFFFF" w:val="clear"/>
        </w:rPr>
        <w:t xml:space="preserve">March 29, 2023. </w:t>
      </w:r>
      <w:r>
        <w:rPr>
          <w:rFonts w:ascii="Times New Roman" w:hAnsi="Times New Roman"/>
          <w:caps w:val="false"/>
          <w:smallCaps w:val="false"/>
          <w:sz w:val="20"/>
          <w:shd w:fill="FFFFFF" w:val="clear"/>
        </w:rPr>
        <w:t xml:space="preserve">Fact discovery closed on </w:t>
      </w:r>
      <w:r>
        <w:rPr>
          <w:rStyle w:val="Emphasis"/>
          <w:rFonts w:ascii="Times New Roman" w:hAnsi="Times New Roman"/>
          <w:caps w:val="false"/>
          <w:smallCaps w:val="false"/>
          <w:sz w:val="20"/>
          <w:shd w:fill="FFFFFF" w:val="clear"/>
        </w:rPr>
        <w:t xml:space="preserve">May 19, 2023, </w:t>
      </w:r>
      <w:r>
        <w:rPr>
          <w:rFonts w:ascii="Times New Roman" w:hAnsi="Times New Roman"/>
          <w:caps w:val="false"/>
          <w:smallCaps w:val="false"/>
          <w:sz w:val="20"/>
          <w:shd w:fill="FFFFFF" w:val="clear"/>
        </w:rPr>
        <w:t xml:space="preserve">and expert discovery closed on </w:t>
      </w:r>
      <w:r>
        <w:rPr>
          <w:rStyle w:val="Emphasis"/>
          <w:rFonts w:ascii="Times New Roman" w:hAnsi="Times New Roman"/>
          <w:caps w:val="false"/>
          <w:smallCaps w:val="false"/>
          <w:sz w:val="20"/>
          <w:shd w:fill="FFFFFF" w:val="clear"/>
        </w:rPr>
        <w:t xml:space="preserve">November 17, 2023. </w:t>
      </w:r>
      <w:r>
        <w:rPr>
          <w:rFonts w:ascii="Times New Roman" w:hAnsi="Times New Roman"/>
          <w:caps w:val="false"/>
          <w:smallCaps w:val="false"/>
          <w:sz w:val="20"/>
          <w:shd w:fill="FFFFFF" w:val="clear"/>
        </w:rPr>
        <w:t xml:space="preserve">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w:t>
      </w:r>
      <w:r>
        <w:rPr>
          <w:rStyle w:val="Emphasis"/>
          <w:rFonts w:ascii="Times New Roman" w:hAnsi="Times New Roman"/>
          <w:caps w:val="false"/>
          <w:smallCaps w:val="false"/>
          <w:sz w:val="20"/>
          <w:shd w:fill="FFFFFF" w:val="clear"/>
        </w:rPr>
        <w:t xml:space="preserve">April 29, 2024, </w:t>
      </w:r>
      <w:r>
        <w:rPr>
          <w:rFonts w:ascii="Times New Roman" w:hAnsi="Times New Roman"/>
          <w:caps w:val="false"/>
          <w:smallCaps w:val="false"/>
          <w:sz w:val="20"/>
          <w:shd w:fill="FFFFFF" w:val="clear"/>
        </w:rPr>
        <w:t xml:space="preserve">the Court granted AstraZeneca’s motion to dismiss AstraZeneca’s counterclaims against the Company, which removed the Company from the case. Wyeth remained in the case as a Plaintiff and counterclaim defendant. Under the Company’s worldwide exclusive license agreement with Pfizer, Inc. (the parent of Wyeth) as amended, the Company also maintains contractual rights to recover monetary damages in the AstraZeneca litigation, and those contractual rights are unaffected by the court’s </w:t>
      </w:r>
      <w:r>
        <w:rPr>
          <w:rStyle w:val="Emphasis"/>
          <w:rFonts w:ascii="Times New Roman" w:hAnsi="Times New Roman"/>
          <w:caps w:val="false"/>
          <w:smallCaps w:val="false"/>
          <w:sz w:val="20"/>
          <w:shd w:fill="FFFFFF" w:val="clear"/>
        </w:rPr>
        <w:t xml:space="preserve">March 18, 2024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 xml:space="preserve">April 29, 2024 </w:t>
      </w:r>
      <w:r>
        <w:rPr>
          <w:rFonts w:ascii="Times New Roman" w:hAnsi="Times New Roman"/>
          <w:caps w:val="false"/>
          <w:smallCaps w:val="false"/>
          <w:sz w:val="20"/>
          <w:shd w:fill="FFFFFF" w:val="clear"/>
        </w:rPr>
        <w:t xml:space="preserve">orders. A jury trial was held </w:t>
      </w:r>
      <w:r>
        <w:rPr>
          <w:rStyle w:val="Emphasis"/>
          <w:rFonts w:ascii="Times New Roman" w:hAnsi="Times New Roman"/>
          <w:caps w:val="false"/>
          <w:smallCaps w:val="false"/>
          <w:sz w:val="20"/>
          <w:shd w:fill="FFFFFF" w:val="clear"/>
        </w:rPr>
        <w:t>May 13-17,</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The jury found in favor of Wyeth and against AstraZeneca. In particular, the jury found that use of Tagrisso® according to each of the </w:t>
      </w:r>
      <w:r>
        <w:rPr>
          <w:rStyle w:val="Emphasis"/>
          <w:rFonts w:ascii="Times New Roman" w:hAnsi="Times New Roman"/>
          <w:caps w:val="false"/>
          <w:smallCaps w:val="false"/>
          <w:sz w:val="20"/>
          <w:shd w:fill="FFFFFF" w:val="clear"/>
        </w:rPr>
        <w:t>three</w:t>
      </w:r>
      <w:r>
        <w:rPr>
          <w:rFonts w:ascii="Times New Roman" w:hAnsi="Times New Roman"/>
          <w:caps w:val="false"/>
          <w:smallCaps w:val="false"/>
          <w:sz w:val="20"/>
          <w:shd w:fill="FFFFFF" w:val="clear"/>
        </w:rPr>
        <w:t xml:space="preserve"> FDA-approved indications infringes the asserted claims of the </w:t>
      </w:r>
      <w:r>
        <w:rPr>
          <w:rStyle w:val="Emphasis"/>
          <w:rFonts w:ascii="Times New Roman" w:hAnsi="Times New Roman"/>
          <w:caps w:val="false"/>
          <w:smallCaps w:val="false"/>
          <w:sz w:val="20"/>
          <w:shd w:fill="FFFFFF" w:val="clear"/>
        </w:rPr>
        <w:t>‘314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‘162</w:t>
      </w:r>
      <w:r>
        <w:rPr>
          <w:rFonts w:ascii="Times New Roman" w:hAnsi="Times New Roman"/>
          <w:caps w:val="false"/>
          <w:smallCaps w:val="false"/>
          <w:sz w:val="20"/>
          <w:shd w:fill="FFFFFF" w:val="clear"/>
        </w:rPr>
        <w:t xml:space="preserve"> patents, and that AstraZeneca induces that infringement. The jury further rejected AstraZeneca’s challenges to the validity of the patents, finding that they are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invalid. The jury awarded damages to Wyeth for past acts of infringement through </w:t>
      </w:r>
      <w:r>
        <w:rPr>
          <w:rStyle w:val="Emphasis"/>
          <w:rFonts w:ascii="Times New Roman" w:hAnsi="Times New Roman"/>
          <w:caps w:val="false"/>
          <w:smallCaps w:val="false"/>
          <w:sz w:val="20"/>
          <w:shd w:fill="FFFFFF" w:val="clear"/>
        </w:rPr>
        <w:t xml:space="preserve">December 31, 2023, </w:t>
      </w:r>
      <w:r>
        <w:rPr>
          <w:rFonts w:ascii="Times New Roman" w:hAnsi="Times New Roman"/>
          <w:caps w:val="false"/>
          <w:smallCaps w:val="false"/>
          <w:sz w:val="20"/>
          <w:shd w:fill="FFFFFF" w:val="clear"/>
        </w:rPr>
        <w:t xml:space="preserve">in the amount of $107.5 million. A separate bench trial related to certain equitable claims and defenses raised by AstraZeneca was held before Judge Kennelly on </w:t>
      </w:r>
      <w:r>
        <w:rPr>
          <w:rStyle w:val="Emphasis"/>
          <w:rFonts w:ascii="Times New Roman" w:hAnsi="Times New Roman"/>
          <w:caps w:val="false"/>
          <w:smallCaps w:val="false"/>
          <w:sz w:val="20"/>
          <w:shd w:fill="FFFFFF" w:val="clear"/>
        </w:rPr>
        <w:t xml:space="preserve">June 20 </w:t>
      </w:r>
      <w:r>
        <w:rPr>
          <w:rFonts w:ascii="Times New Roman" w:hAnsi="Times New Roman"/>
          <w:caps w:val="false"/>
          <w:smallCaps w:val="false"/>
          <w:sz w:val="20"/>
          <w:shd w:fill="FFFFFF" w:val="clear"/>
        </w:rPr>
        <w:t xml:space="preserve">and </w:t>
      </w:r>
      <w:r>
        <w:rPr>
          <w:rStyle w:val="Emphasis"/>
          <w:rFonts w:ascii="Times New Roman" w:hAnsi="Times New Roman"/>
          <w:caps w:val="false"/>
          <w:smallCaps w:val="false"/>
          <w:sz w:val="20"/>
          <w:shd w:fill="FFFFFF" w:val="clear"/>
        </w:rPr>
        <w:t>25,</w:t>
      </w:r>
      <w:r>
        <w:rPr>
          <w:rFonts w:ascii="Times New Roman" w:hAnsi="Times New Roman"/>
          <w:caps w:val="false"/>
          <w:smallCaps w:val="false"/>
          <w:sz w:val="20"/>
          <w:shd w:fill="FFFFFF" w:val="clear"/>
        </w:rPr>
        <w:t xml:space="preserve"> </w:t>
      </w:r>
      <w:r>
        <w:rPr>
          <w:rStyle w:val="Emphasis"/>
          <w:rFonts w:ascii="Times New Roman" w:hAnsi="Times New Roman"/>
          <w:caps w:val="false"/>
          <w:smallCaps w:val="false"/>
          <w:sz w:val="20"/>
          <w:shd w:fill="FFFFFF" w:val="clear"/>
        </w:rPr>
        <w:t>2024.</w:t>
      </w:r>
      <w:r>
        <w:rPr>
          <w:rFonts w:ascii="Times New Roman" w:hAnsi="Times New Roman"/>
          <w:caps w:val="false"/>
          <w:smallCaps w:val="false"/>
          <w:sz w:val="20"/>
          <w:shd w:fill="FFFFFF" w:val="clear"/>
        </w:rPr>
        <w:t xml:space="preserve"> On </w:t>
      </w:r>
      <w:r>
        <w:rPr>
          <w:rStyle w:val="Emphasis"/>
          <w:rFonts w:ascii="Times New Roman" w:hAnsi="Times New Roman"/>
          <w:caps w:val="false"/>
          <w:smallCaps w:val="false"/>
          <w:sz w:val="20"/>
          <w:shd w:fill="FFFFFF" w:val="clear"/>
        </w:rPr>
        <w:t xml:space="preserve">August 6, 2024, </w:t>
      </w:r>
      <w:r>
        <w:rPr>
          <w:rFonts w:ascii="Times New Roman" w:hAnsi="Times New Roman"/>
          <w:caps w:val="false"/>
          <w:smallCaps w:val="false"/>
          <w:sz w:val="20"/>
          <w:shd w:fill="FFFFFF" w:val="clear"/>
        </w:rPr>
        <w:t xml:space="preserve">Judge Kennelly issued his ruling on the issues that were tried in the bench trial, finding for Wyeth and against AstraZeneca on all claims and defenses. The Court found that AstraZeneca had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w:t>
      </w:r>
      <w:r>
        <w:rPr>
          <w:rStyle w:val="Emphasis"/>
          <w:rFonts w:ascii="Times New Roman" w:hAnsi="Times New Roman"/>
          <w:caps w:val="false"/>
          <w:smallCaps w:val="false"/>
          <w:sz w:val="20"/>
          <w:shd w:fill="FFFFFF" w:val="clear"/>
        </w:rPr>
        <w:t xml:space="preserve">January 1, 2024, </w:t>
      </w:r>
      <w:r>
        <w:rPr>
          <w:rFonts w:ascii="Times New Roman" w:hAnsi="Times New Roman"/>
          <w:caps w:val="false"/>
          <w:smallCaps w:val="false"/>
          <w:sz w:val="20"/>
          <w:shd w:fill="FFFFFF" w:val="clear"/>
        </w:rPr>
        <w:t xml:space="preserve">through the date of judgment; pre-and-post judgment interest, and ongoing royalties through the remaining term of the patents. Briefing on these motions from both sides was completed on </w:t>
      </w:r>
      <w:r>
        <w:rPr>
          <w:rStyle w:val="Emphasis"/>
          <w:rFonts w:ascii="Times New Roman" w:hAnsi="Times New Roman"/>
          <w:caps w:val="false"/>
          <w:smallCaps w:val="false"/>
          <w:sz w:val="20"/>
          <w:shd w:fill="FFFFFF" w:val="clear"/>
        </w:rPr>
        <w:t>July 16, 2024. </w:t>
      </w: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August 14, 2024, </w:t>
      </w:r>
      <w:r>
        <w:rPr>
          <w:rFonts w:ascii="Times New Roman" w:hAnsi="Times New Roman"/>
          <w:caps w:val="false"/>
          <w:smallCaps w:val="false"/>
          <w:sz w:val="20"/>
          <w:shd w:fill="FFFFFF" w:val="clear"/>
        </w:rPr>
        <w:t xml:space="preserve">Judge Kennelly ruled on AstraZeneca’s motion challenging the jury’s verdict, granting it in part and denying it in part. The Court granted AstraZeneca’s motion for judgment as a matter of law that the </w:t>
      </w:r>
      <w:r>
        <w:rPr>
          <w:rStyle w:val="Emphasis"/>
          <w:rFonts w:ascii="Times New Roman" w:hAnsi="Times New Roman"/>
          <w:caps w:val="false"/>
          <w:smallCaps w:val="false"/>
          <w:sz w:val="20"/>
          <w:shd w:fill="FFFFFF" w:val="clear"/>
        </w:rPr>
        <w:t>'314</w:t>
      </w:r>
      <w:r>
        <w:rPr>
          <w:rFonts w:ascii="Times New Roman" w:hAnsi="Times New Roman"/>
          <w:caps w:val="false"/>
          <w:smallCaps w:val="false"/>
          <w:sz w:val="20"/>
          <w:shd w:fill="FFFFFF" w:val="clear"/>
        </w:rPr>
        <w:t xml:space="preserve"> and </w:t>
      </w:r>
      <w:r>
        <w:rPr>
          <w:rStyle w:val="Emphasis"/>
          <w:rFonts w:ascii="Times New Roman" w:hAnsi="Times New Roman"/>
          <w:caps w:val="false"/>
          <w:smallCaps w:val="false"/>
          <w:sz w:val="20"/>
          <w:shd w:fill="FFFFFF" w:val="clear"/>
        </w:rPr>
        <w:t>'162</w:t>
      </w:r>
      <w:r>
        <w:rPr>
          <w:rFonts w:ascii="Times New Roman" w:hAnsi="Times New Roman"/>
          <w:caps w:val="false"/>
          <w:smallCaps w:val="false"/>
          <w:sz w:val="20"/>
          <w:shd w:fill="FFFFFF" w:val="clear"/>
        </w:rPr>
        <w:t xml:space="preserve"> patents are invalid under </w:t>
      </w:r>
      <w:r>
        <w:rPr>
          <w:rStyle w:val="Emphasis"/>
          <w:rFonts w:ascii="Times New Roman" w:hAnsi="Times New Roman"/>
          <w:caps w:val="false"/>
          <w:smallCaps w:val="false"/>
          <w:sz w:val="20"/>
          <w:shd w:fill="FFFFFF" w:val="clear"/>
        </w:rPr>
        <w:t>35</w:t>
      </w:r>
      <w:r>
        <w:rPr>
          <w:rFonts w:ascii="Times New Roman" w:hAnsi="Times New Roman"/>
          <w:caps w:val="false"/>
          <w:smallCaps w:val="false"/>
          <w:sz w:val="20"/>
          <w:shd w:fill="FFFFFF" w:val="clear"/>
        </w:rPr>
        <w:t xml:space="preserve"> U.S.C. § </w:t>
      </w:r>
      <w:r>
        <w:rPr>
          <w:rStyle w:val="Emphasis"/>
          <w:rFonts w:ascii="Times New Roman" w:hAnsi="Times New Roman"/>
          <w:caps w:val="false"/>
          <w:smallCaps w:val="false"/>
          <w:sz w:val="20"/>
          <w:shd w:fill="FFFFFF" w:val="clear"/>
        </w:rPr>
        <w:t>112</w:t>
      </w:r>
      <w:r>
        <w:rPr>
          <w:rFonts w:ascii="Times New Roman" w:hAnsi="Times New Roman"/>
          <w:caps w:val="false"/>
          <w:smallCaps w:val="false"/>
          <w:sz w:val="20"/>
          <w:shd w:fill="FFFFFF" w:val="clear"/>
        </w:rPr>
        <w:t xml:space="preserve">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w:t>
      </w:r>
      <w:r>
        <w:rPr>
          <w:rStyle w:val="Emphasis"/>
          <w:rFonts w:ascii="Times New Roman" w:hAnsi="Times New Roman"/>
          <w:caps w:val="false"/>
          <w:smallCaps w:val="false"/>
          <w:sz w:val="20"/>
          <w:shd w:fill="FFFFFF" w:val="clear"/>
        </w:rPr>
        <w:t xml:space="preserve">September 12, 2024, </w:t>
      </w:r>
      <w:r>
        <w:rPr>
          <w:rFonts w:ascii="Times New Roman" w:hAnsi="Times New Roman"/>
          <w:caps w:val="false"/>
          <w:smallCaps w:val="false"/>
          <w:sz w:val="20"/>
          <w:shd w:fill="FFFFFF" w:val="clear"/>
        </w:rPr>
        <w:t xml:space="preserve">appealing the District Court’s judgment as a matter of law, as well as other rulings and opinions of the Court adverse to Wyeth. On </w:t>
      </w:r>
      <w:r>
        <w:rPr>
          <w:rStyle w:val="Emphasis"/>
          <w:rFonts w:ascii="Times New Roman" w:hAnsi="Times New Roman"/>
          <w:caps w:val="false"/>
          <w:smallCaps w:val="false"/>
          <w:sz w:val="20"/>
          <w:shd w:fill="FFFFFF" w:val="clear"/>
        </w:rPr>
        <w:t xml:space="preserve">December 18, 2024, </w:t>
      </w:r>
      <w:r>
        <w:rPr>
          <w:rFonts w:ascii="Times New Roman" w:hAnsi="Times New Roman"/>
          <w:caps w:val="false"/>
          <w:smallCaps w:val="false"/>
          <w:sz w:val="20"/>
          <w:shd w:fill="FFFFFF" w:val="clear"/>
        </w:rPr>
        <w:t xml:space="preserve">Wyeth filed its opening brief. On </w:t>
      </w:r>
      <w:r>
        <w:rPr>
          <w:rStyle w:val="Emphasis"/>
          <w:rFonts w:ascii="Times New Roman" w:hAnsi="Times New Roman"/>
          <w:caps w:val="false"/>
          <w:smallCaps w:val="false"/>
          <w:sz w:val="20"/>
          <w:shd w:fill="FFFFFF" w:val="clear"/>
        </w:rPr>
        <w:t xml:space="preserve">March 13, 2025, </w:t>
      </w:r>
      <w:r>
        <w:rPr>
          <w:rFonts w:ascii="Times New Roman" w:hAnsi="Times New Roman"/>
          <w:caps w:val="false"/>
          <w:smallCaps w:val="false"/>
          <w:sz w:val="20"/>
          <w:shd w:fill="FFFFFF" w:val="clear"/>
        </w:rPr>
        <w:t xml:space="preserve">AstraZeneca filed its response brief. On </w:t>
      </w:r>
      <w:r>
        <w:rPr>
          <w:rStyle w:val="Emphasis"/>
          <w:rFonts w:ascii="Times New Roman" w:hAnsi="Times New Roman"/>
          <w:caps w:val="false"/>
          <w:smallCaps w:val="false"/>
          <w:sz w:val="20"/>
          <w:shd w:fill="FFFFFF" w:val="clear"/>
        </w:rPr>
        <w:t xml:space="preserve">March 20, 2025, </w:t>
      </w:r>
      <w:r>
        <w:rPr>
          <w:rFonts w:ascii="Times New Roman" w:hAnsi="Times New Roman"/>
          <w:caps w:val="false"/>
          <w:smallCaps w:val="false"/>
          <w:sz w:val="20"/>
          <w:shd w:fill="FFFFFF" w:val="clear"/>
        </w:rPr>
        <w:t xml:space="preserve">non-parties Regeneron Pharmaceuticals, Inc. and Sanofi-Aventis U.S. LLC filed a motion for leave to file an amicus curiae brief in the Federal Circuit. The motion was granted on </w:t>
      </w:r>
      <w:r>
        <w:rPr>
          <w:rStyle w:val="Emphasis"/>
          <w:rFonts w:ascii="Times New Roman" w:hAnsi="Times New Roman"/>
          <w:caps w:val="false"/>
          <w:smallCaps w:val="false"/>
          <w:sz w:val="20"/>
          <w:shd w:fill="FFFFFF" w:val="clear"/>
        </w:rPr>
        <w:t xml:space="preserve">May 16, 2025. </w:t>
      </w: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June 6, 2025, </w:t>
      </w:r>
      <w:r>
        <w:rPr>
          <w:rFonts w:ascii="Times New Roman" w:hAnsi="Times New Roman"/>
          <w:caps w:val="false"/>
          <w:smallCaps w:val="false"/>
          <w:sz w:val="20"/>
          <w:shd w:fill="FFFFFF" w:val="clear"/>
        </w:rPr>
        <w:t xml:space="preserve">Wyeth filed its reply brief and oral arguments were held on </w:t>
      </w:r>
      <w:r>
        <w:rPr>
          <w:rStyle w:val="Emphasis"/>
          <w:rFonts w:ascii="Times New Roman" w:hAnsi="Times New Roman"/>
          <w:caps w:val="false"/>
          <w:smallCaps w:val="false"/>
          <w:sz w:val="20"/>
          <w:shd w:fill="FFFFFF" w:val="clear"/>
        </w:rPr>
        <w:t>May 7, 2026. </w:t>
      </w:r>
      <w:r>
        <w:rPr>
          <w:rFonts w:ascii="Times New Roman" w:hAnsi="Times New Roman"/>
          <w:caps w:val="false"/>
          <w:smallCaps w:val="false"/>
          <w:sz w:val="20"/>
          <w:shd w:fill="FFFFFF" w:val="clear"/>
        </w:rPr>
        <w:t xml:space="preserve">On </w:t>
      </w:r>
      <w:r>
        <w:rPr>
          <w:rStyle w:val="Emphasis"/>
          <w:rFonts w:ascii="Times New Roman" w:hAnsi="Times New Roman"/>
          <w:caps w:val="false"/>
          <w:smallCaps w:val="false"/>
          <w:sz w:val="20"/>
          <w:shd w:fill="FFFFFF" w:val="clear"/>
        </w:rPr>
        <w:t xml:space="preserve">July 9, 2026, </w:t>
      </w:r>
      <w:r>
        <w:rPr>
          <w:rFonts w:ascii="Times New Roman" w:hAnsi="Times New Roman"/>
          <w:caps w:val="false"/>
          <w:smallCaps w:val="false"/>
          <w:sz w:val="20"/>
          <w:shd w:fill="FFFFFF" w:val="clear"/>
        </w:rPr>
        <w:t>the Federal Circuit affirmed the judgment of the Delaware District Court, holding the patent claims at issue invalid.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Acebright 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18, 2022, </w:t>
      </w:r>
      <w:r>
        <w:rPr>
          <w:rFonts w:ascii="Times New Roman" w:hAnsi="Times New Roman"/>
          <w:caps w:val="false"/>
          <w:smallCaps w:val="false"/>
          <w:sz w:val="20"/>
        </w:rPr>
        <w:t xml:space="preserve">Shanghai Acebright Pharmaceuticals Group Co., Ltd. (“Acebright”) filed an abbreviated new drug application (“ANDA”) with the National Medical Products Administration in China (“NMPA”) seeking approval to market a generic version of the Company’s NERLYNX® (neratinib) tablet, </w:t>
      </w:r>
      <w:r>
        <w:rPr>
          <w:rStyle w:val="Emphasis"/>
          <w:rFonts w:ascii="Times New Roman" w:hAnsi="Times New Roman"/>
          <w:caps w:val="false"/>
          <w:smallCaps w:val="false"/>
          <w:sz w:val="20"/>
        </w:rPr>
        <w:t>40mg</w:t>
      </w:r>
      <w:r>
        <w:rPr>
          <w:rFonts w:ascii="Times New Roman" w:hAnsi="Times New Roman"/>
          <w:caps w:val="false"/>
          <w:smallCaps w:val="false"/>
          <w:sz w:val="20"/>
        </w:rPr>
        <w:t xml:space="preserve"> in China. Acebright seeks approval prior to the expiration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patents listed on the China Patent Information Registration Platform for Marketed Drugs (“Chinese Orange Book”), namely,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collectively, the “NERLYNX® Patents”), alleging in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patent declaration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NERLYNX® Patents listed in the Chinese Orange Book. The patent declaration of Acebright was published in the Chinese Orange Book on </w:t>
      </w:r>
      <w:r>
        <w:rPr>
          <w:rStyle w:val="Emphasis"/>
          <w:rFonts w:ascii="Times New Roman" w:hAnsi="Times New Roman"/>
          <w:caps w:val="false"/>
          <w:smallCaps w:val="false"/>
          <w:sz w:val="20"/>
        </w:rPr>
        <w:t xml:space="preserve">January 19, 2022.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 2022, </w:t>
      </w:r>
      <w:r>
        <w:rPr>
          <w:rFonts w:ascii="Times New Roman" w:hAnsi="Times New Roman"/>
          <w:caps w:val="false"/>
          <w:smallCaps w:val="false"/>
          <w:sz w:val="20"/>
        </w:rPr>
        <w:t xml:space="preserve">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w:t>
      </w:r>
      <w:r>
        <w:rPr>
          <w:rStyle w:val="Emphasis"/>
          <w:rFonts w:ascii="Times New Roman" w:hAnsi="Times New Roman"/>
          <w:caps w:val="false"/>
          <w:smallCaps w:val="false"/>
          <w:sz w:val="20"/>
        </w:rPr>
        <w:t xml:space="preserve">March 18, 2022. </w:t>
      </w:r>
      <w:r>
        <w:rPr>
          <w:rFonts w:ascii="Times New Roman" w:hAnsi="Times New Roman"/>
          <w:caps w:val="false"/>
          <w:smallCaps w:val="false"/>
          <w:sz w:val="20"/>
        </w:rPr>
        <w:t xml:space="preserve">The Company has notified NMPA of the acceptance of the request for administrative determination for NMPA to institute a stay of Acebright’s ANDA for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months. On </w:t>
      </w:r>
      <w:r>
        <w:rPr>
          <w:rStyle w:val="Emphasis"/>
          <w:rFonts w:ascii="Times New Roman" w:hAnsi="Times New Roman"/>
          <w:caps w:val="false"/>
          <w:smallCaps w:val="false"/>
          <w:sz w:val="20"/>
        </w:rPr>
        <w:t xml:space="preserve">July 11, 2022, </w:t>
      </w:r>
      <w:r>
        <w:rPr>
          <w:rFonts w:ascii="Times New Roman" w:hAnsi="Times New Roman"/>
          <w:caps w:val="false"/>
          <w:smallCaps w:val="false"/>
          <w:sz w:val="20"/>
        </w:rPr>
        <w:t xml:space="preserve">CNIPA decided that claims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September 9, 2022, </w:t>
      </w:r>
      <w:r>
        <w:rPr>
          <w:rFonts w:ascii="Times New Roman" w:hAnsi="Times New Roman"/>
          <w:caps w:val="false"/>
          <w:smallCaps w:val="false"/>
          <w:sz w:val="20"/>
        </w:rPr>
        <w:t xml:space="preserve">CNIPA decided that the generic drug in Acebright’s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CNIPA administrative decisions on NERLYNX® Patents have lifted the stay of Acebright’s ANDA by NMPA. The Company has appealed each CNIPA administrative decision in </w:t>
      </w:r>
      <w:r>
        <w:rPr>
          <w:rStyle w:val="Emphasis"/>
          <w:rFonts w:ascii="Times New Roman" w:hAnsi="Times New Roman"/>
          <w:caps w:val="false"/>
          <w:smallCaps w:val="false"/>
          <w:sz w:val="20"/>
        </w:rPr>
        <w:t xml:space="preserve">January 2023 </w:t>
      </w:r>
      <w:r>
        <w:rPr>
          <w:rFonts w:ascii="Times New Roman" w:hAnsi="Times New Roman"/>
          <w:caps w:val="false"/>
          <w:smallCaps w:val="false"/>
          <w:sz w:val="20"/>
        </w:rPr>
        <w:t xml:space="preserve">at the Beijing Intellectual Property Court (“BJIPC”).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appeals were accepted by BJIPC on </w:t>
      </w:r>
      <w:r>
        <w:rPr>
          <w:rStyle w:val="Emphasis"/>
          <w:rFonts w:ascii="Times New Roman" w:hAnsi="Times New Roman"/>
          <w:caps w:val="false"/>
          <w:smallCaps w:val="false"/>
          <w:sz w:val="20"/>
        </w:rPr>
        <w:t xml:space="preserve">February 20, 2023. </w:t>
      </w:r>
      <w:r>
        <w:rPr>
          <w:rFonts w:ascii="Times New Roman" w:hAnsi="Times New Roman"/>
          <w:caps w:val="false"/>
          <w:smallCaps w:val="false"/>
          <w:sz w:val="20"/>
        </w:rPr>
        <w:t xml:space="preserve">The Company also filed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civil complaints based on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NERLYNX® Patents against Acebright with the BJIPC in </w:t>
      </w:r>
      <w:r>
        <w:rPr>
          <w:rStyle w:val="Emphasis"/>
          <w:rFonts w:ascii="Times New Roman" w:hAnsi="Times New Roman"/>
          <w:caps w:val="false"/>
          <w:smallCaps w:val="false"/>
          <w:sz w:val="20"/>
        </w:rPr>
        <w:t xml:space="preserve">July 2022 </w:t>
      </w:r>
      <w:r>
        <w:rPr>
          <w:rFonts w:ascii="Times New Roman" w:hAnsi="Times New Roman"/>
          <w:caps w:val="false"/>
          <w:smallCaps w:val="false"/>
          <w:sz w:val="20"/>
        </w:rPr>
        <w:t xml:space="preserve">and requested court determination that Acebright’s generic neratinib tablet falls within the scope of the claims of NERLYNX® Patents. On </w:t>
      </w:r>
      <w:r>
        <w:rPr>
          <w:rStyle w:val="Emphasis"/>
          <w:rFonts w:ascii="Times New Roman" w:hAnsi="Times New Roman"/>
          <w:caps w:val="false"/>
          <w:smallCaps w:val="false"/>
          <w:sz w:val="20"/>
        </w:rPr>
        <w:t xml:space="preserve">May 6, 2023, </w:t>
      </w:r>
      <w:r>
        <w:rPr>
          <w:rFonts w:ascii="Times New Roman" w:hAnsi="Times New Roman"/>
          <w:caps w:val="false"/>
          <w:smallCaps w:val="false"/>
          <w:sz w:val="20"/>
        </w:rPr>
        <w:t xml:space="preserve">the Company withdrew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civil lawsuits and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appeals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May 24,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July 24,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remaining civil lawsuit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appeal in relation to Chinese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at the BJIPC. On </w:t>
      </w:r>
      <w:r>
        <w:rPr>
          <w:rStyle w:val="Emphasis"/>
          <w:rFonts w:ascii="Times New Roman" w:hAnsi="Times New Roman"/>
          <w:caps w:val="false"/>
          <w:smallCaps w:val="false"/>
          <w:sz w:val="20"/>
        </w:rPr>
        <w:t xml:space="preserve">August 15, 2023, </w:t>
      </w:r>
      <w:r>
        <w:rPr>
          <w:rFonts w:ascii="Times New Roman" w:hAnsi="Times New Roman"/>
          <w:caps w:val="false"/>
          <w:smallCaps w:val="false"/>
          <w:sz w:val="20"/>
        </w:rPr>
        <w:t xml:space="preserve">the BJIPC accepted the Company’s withdrawal request. 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NMPA approved Acebright’s ANDA to market a generic version of the Company’s NERLYNX® in China with the approval number of GuoYaoZhunZi </w:t>
      </w:r>
      <w:r>
        <w:rPr>
          <w:rStyle w:val="Emphasis"/>
          <w:rFonts w:ascii="Times New Roman" w:hAnsi="Times New Roman"/>
          <w:caps w:val="false"/>
          <w:smallCaps w:val="false"/>
          <w:sz w:val="20"/>
        </w:rPr>
        <w:t>H20234141.</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2023, </w:t>
      </w:r>
      <w:r>
        <w:rPr>
          <w:rFonts w:ascii="Times New Roman" w:hAnsi="Times New Roman"/>
          <w:caps w:val="false"/>
          <w:smallCaps w:val="false"/>
          <w:sz w:val="20"/>
        </w:rPr>
        <w:t xml:space="preserve">the Company filed a civil lawsuit against Acebright for infringement of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under Article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of the Chinese Patent Law before Jiangsu Nanjing Intermediate People’s Court. The Company’s complaint alleges that Acebright’s offer for sale of a generic version of the Company’s NERLYNX®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The Company seeks a judgment that Acebright’s product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and Acebright’s act of offer for sale shall be enjoined. On </w:t>
      </w:r>
      <w:r>
        <w:rPr>
          <w:rStyle w:val="Emphasis"/>
          <w:rFonts w:ascii="Times New Roman" w:hAnsi="Times New Roman"/>
          <w:caps w:val="false"/>
          <w:smallCaps w:val="false"/>
          <w:sz w:val="20"/>
        </w:rPr>
        <w:t xml:space="preserve">January 2, 2024, </w:t>
      </w:r>
      <w:r>
        <w:rPr>
          <w:rFonts w:ascii="Times New Roman" w:hAnsi="Times New Roman"/>
          <w:caps w:val="false"/>
          <w:smallCaps w:val="false"/>
          <w:sz w:val="20"/>
        </w:rPr>
        <w:t xml:space="preserve">Jiangsu Nanjing Intermediate People’s Court accepted the civil complaint. An oral hearing was held on </w:t>
      </w:r>
      <w:r>
        <w:rPr>
          <w:rStyle w:val="Emphasis"/>
          <w:rFonts w:ascii="Times New Roman" w:hAnsi="Times New Roman"/>
          <w:caps w:val="false"/>
          <w:smallCaps w:val="false"/>
          <w:sz w:val="20"/>
        </w:rPr>
        <w:t xml:space="preserve">June 19, 2024, </w:t>
      </w:r>
      <w:r>
        <w:rPr>
          <w:rFonts w:ascii="Times New Roman" w:hAnsi="Times New Roman"/>
          <w:caps w:val="false"/>
          <w:smallCaps w:val="false"/>
          <w:sz w:val="20"/>
        </w:rPr>
        <w:t xml:space="preserve">during which the Company amended its complaint to allege that Acebright making, selling and offering to sell the generic version of NERLYNX® infringes the </w:t>
      </w:r>
      <w:r>
        <w:rPr>
          <w:rStyle w:val="Emphasis"/>
          <w:rFonts w:ascii="Times New Roman" w:hAnsi="Times New Roman"/>
          <w:caps w:val="false"/>
          <w:smallCaps w:val="false"/>
          <w:sz w:val="20"/>
        </w:rPr>
        <w:t>’789</w:t>
      </w:r>
      <w:r>
        <w:rPr>
          <w:rFonts w:ascii="Times New Roman" w:hAnsi="Times New Roman"/>
          <w:caps w:val="false"/>
          <w:smallCaps w:val="false"/>
          <w:sz w:val="20"/>
        </w:rPr>
        <w:t xml:space="preserve"> patent. On </w:t>
      </w:r>
      <w:r>
        <w:rPr>
          <w:rStyle w:val="Emphasis"/>
          <w:rFonts w:ascii="Times New Roman" w:hAnsi="Times New Roman"/>
          <w:caps w:val="false"/>
          <w:smallCaps w:val="false"/>
          <w:sz w:val="20"/>
        </w:rPr>
        <w:t xml:space="preserve">July 24, 2024, </w:t>
      </w:r>
      <w:r>
        <w:rPr>
          <w:rFonts w:ascii="Times New Roman" w:hAnsi="Times New Roman"/>
          <w:caps w:val="false"/>
          <w:smallCaps w:val="false"/>
          <w:sz w:val="20"/>
        </w:rPr>
        <w:t xml:space="preserve">the Company submitted a request to withdraw the lawsuit. On </w:t>
      </w:r>
      <w:r>
        <w:rPr>
          <w:rStyle w:val="Emphasis"/>
          <w:rFonts w:ascii="Times New Roman" w:hAnsi="Times New Roman"/>
          <w:caps w:val="false"/>
          <w:smallCaps w:val="false"/>
          <w:sz w:val="20"/>
        </w:rPr>
        <w:t xml:space="preserve">August 8, 2024, </w:t>
      </w:r>
      <w:r>
        <w:rPr>
          <w:rFonts w:ascii="Times New Roman" w:hAnsi="Times New Roman"/>
          <w:caps w:val="false"/>
          <w:smallCaps w:val="false"/>
          <w:sz w:val="20"/>
        </w:rPr>
        <w:t>Jiangsu Nanjing Intermediate People’s Court accepted the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27, 2024, </w:t>
      </w:r>
      <w:r>
        <w:rPr>
          <w:rFonts w:ascii="Times New Roman" w:hAnsi="Times New Roman"/>
          <w:caps w:val="false"/>
          <w:smallCaps w:val="false"/>
          <w:sz w:val="20"/>
        </w:rPr>
        <w:t xml:space="preserve">the Company filed an additional patent infringement claim against Acebright at Jiangsu Nanjing Intermediate People’s Court. On </w:t>
      </w:r>
      <w:r>
        <w:rPr>
          <w:rStyle w:val="Emphasis"/>
          <w:rFonts w:ascii="Times New Roman" w:hAnsi="Times New Roman"/>
          <w:caps w:val="false"/>
          <w:smallCaps w:val="false"/>
          <w:sz w:val="20"/>
        </w:rPr>
        <w:t xml:space="preserve">October 14, 2024, </w:t>
      </w:r>
      <w:r>
        <w:rPr>
          <w:rFonts w:ascii="Times New Roman" w:hAnsi="Times New Roman"/>
          <w:caps w:val="false"/>
          <w:smallCaps w:val="false"/>
          <w:sz w:val="20"/>
        </w:rPr>
        <w:t>the Court accepted the complaint and designated case number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Su </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Min Chu </w:t>
      </w:r>
      <w:r>
        <w:rPr>
          <w:rStyle w:val="Emphasis"/>
          <w:rFonts w:ascii="Times New Roman" w:hAnsi="Times New Roman"/>
          <w:caps w:val="false"/>
          <w:smallCaps w:val="false"/>
          <w:sz w:val="20"/>
        </w:rPr>
        <w:t>2192</w:t>
      </w:r>
      <w:r>
        <w:rPr>
          <w:rFonts w:ascii="Times New Roman" w:hAnsi="Times New Roman"/>
          <w:caps w:val="false"/>
          <w:smallCaps w:val="false"/>
          <w:sz w:val="20"/>
        </w:rPr>
        <w:t xml:space="preserve"> to this case. On </w:t>
      </w:r>
      <w:r>
        <w:rPr>
          <w:rStyle w:val="Emphasis"/>
          <w:rFonts w:ascii="Times New Roman" w:hAnsi="Times New Roman"/>
          <w:caps w:val="false"/>
          <w:smallCaps w:val="false"/>
          <w:sz w:val="20"/>
        </w:rPr>
        <w:t xml:space="preserve">December 16, 2024, </w:t>
      </w:r>
      <w:r>
        <w:rPr>
          <w:rFonts w:ascii="Times New Roman" w:hAnsi="Times New Roman"/>
          <w:caps w:val="false"/>
          <w:smallCaps w:val="false"/>
          <w:sz w:val="20"/>
        </w:rPr>
        <w:t xml:space="preserve">the Court conducted an evidence exchange hearing. On </w:t>
      </w:r>
      <w:r>
        <w:rPr>
          <w:rStyle w:val="Emphasis"/>
          <w:rFonts w:ascii="Times New Roman" w:hAnsi="Times New Roman"/>
          <w:caps w:val="false"/>
          <w:smallCaps w:val="false"/>
          <w:sz w:val="20"/>
        </w:rPr>
        <w:t xml:space="preserve">January 10, 2025, </w:t>
      </w:r>
      <w:r>
        <w:rPr>
          <w:rFonts w:ascii="Times New Roman" w:hAnsi="Times New Roman"/>
          <w:caps w:val="false"/>
          <w:smallCaps w:val="false"/>
          <w:sz w:val="20"/>
        </w:rPr>
        <w:t xml:space="preserve">the Court conducted a hearing of party experts on the evaluation of evidence. On </w:t>
      </w:r>
      <w:r>
        <w:rPr>
          <w:rStyle w:val="Emphasis"/>
          <w:rFonts w:ascii="Times New Roman" w:hAnsi="Times New Roman"/>
          <w:caps w:val="false"/>
          <w:smallCaps w:val="false"/>
          <w:sz w:val="20"/>
        </w:rPr>
        <w:t xml:space="preserve">July 14, 2025, </w:t>
      </w:r>
      <w:r>
        <w:rPr>
          <w:rFonts w:ascii="Times New Roman" w:hAnsi="Times New Roman"/>
          <w:caps w:val="false"/>
          <w:smallCaps w:val="false"/>
          <w:sz w:val="20"/>
        </w:rPr>
        <w:t xml:space="preserve">the Court conducted a hearing to examine evidence and debate merits of party arguments. On </w:t>
      </w:r>
      <w:r>
        <w:rPr>
          <w:rStyle w:val="Emphasis"/>
          <w:rFonts w:ascii="Times New Roman" w:hAnsi="Times New Roman"/>
          <w:caps w:val="false"/>
          <w:smallCaps w:val="false"/>
          <w:sz w:val="20"/>
        </w:rPr>
        <w:t xml:space="preserve">September 28, 2025, </w:t>
      </w:r>
      <w:r>
        <w:rPr>
          <w:rFonts w:ascii="Times New Roman" w:hAnsi="Times New Roman"/>
          <w:caps w:val="false"/>
          <w:smallCaps w:val="false"/>
          <w:sz w:val="20"/>
        </w:rPr>
        <w:t xml:space="preserve">the Court issued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-instance decision, deciding that Acebright’s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patent-in-suit, and Acebright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infringe the NERLYNX® Patents. The Court also decided that the Company’s enforcement efforts were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malicious and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amount to unfair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17, 2022, </w:t>
      </w:r>
      <w:r>
        <w:rPr>
          <w:rFonts w:ascii="Times New Roman" w:hAnsi="Times New Roman"/>
          <w:caps w:val="false"/>
          <w:smallCaps w:val="false"/>
          <w:sz w:val="20"/>
        </w:rPr>
        <w:t xml:space="preserve">Jiangsu Aosaikang Pharmaceutical Co. Ltd. (“Aosaikang”)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CYHS2202006.</w:t>
      </w:r>
      <w:r>
        <w:rPr>
          <w:rFonts w:ascii="Times New Roman" w:hAnsi="Times New Roman"/>
          <w:caps w:val="false"/>
          <w:smallCaps w:val="false"/>
          <w:sz w:val="20"/>
        </w:rPr>
        <w:t xml:space="preserve"> Aosaikang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Aosaikang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28, 2022,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Aosaikang ANDA with the CNIPA and requested administrative determination that Aosaikang’s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January 6,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Aosaikang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Aosaikang’s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Aosaikang’s ANDA by NMPA. On </w:t>
      </w:r>
      <w:r>
        <w:rPr>
          <w:rStyle w:val="Emphasis"/>
          <w:rFonts w:ascii="Times New Roman" w:hAnsi="Times New Roman"/>
          <w:caps w:val="false"/>
          <w:smallCaps w:val="false"/>
          <w:sz w:val="20"/>
        </w:rPr>
        <w:t xml:space="preserve">October 22, 2024, </w:t>
      </w:r>
      <w:r>
        <w:rPr>
          <w:rFonts w:ascii="Times New Roman" w:hAnsi="Times New Roman"/>
          <w:caps w:val="false"/>
          <w:smallCaps w:val="false"/>
          <w:sz w:val="20"/>
        </w:rPr>
        <w:t xml:space="preserve">the NMPA approved Aosaikang’s ANDA to market a generic version of the Company’s NERLYNX® in China with the approval number of GuoYaoZhunZi </w:t>
      </w:r>
      <w:r>
        <w:rPr>
          <w:rStyle w:val="Emphasis"/>
          <w:rFonts w:ascii="Times New Roman" w:hAnsi="Times New Roman"/>
          <w:caps w:val="false"/>
          <w:smallCaps w:val="false"/>
          <w:sz w:val="20"/>
        </w:rPr>
        <w:t>H20249180.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Convalife Pharmaceuticals (Shanghai) Co., Ltd (“Convalife”)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CYHS2202095.</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December 23, 2022, </w:t>
      </w:r>
      <w:r>
        <w:rPr>
          <w:rFonts w:ascii="Times New Roman" w:hAnsi="Times New Roman"/>
          <w:caps w:val="false"/>
          <w:smallCaps w:val="false"/>
          <w:sz w:val="20"/>
        </w:rPr>
        <w:t xml:space="preserve">Convalife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Convalife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Convalife ANDA with the CNIPA and requested administrative determination that Convalife’s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Also on </w:t>
      </w:r>
      <w:r>
        <w:rPr>
          <w:rStyle w:val="Emphasis"/>
          <w:rFonts w:ascii="Times New Roman" w:hAnsi="Times New Roman"/>
          <w:caps w:val="false"/>
          <w:smallCaps w:val="false"/>
          <w:sz w:val="20"/>
        </w:rPr>
        <w:t xml:space="preserve">February 3,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February 24,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Convalife ANDA starting from the CNIPA’s acceptance of the Company’s request for administrative determination. On </w:t>
      </w:r>
      <w:r>
        <w:rPr>
          <w:rStyle w:val="Emphasis"/>
          <w:rFonts w:ascii="Times New Roman" w:hAnsi="Times New Roman"/>
          <w:caps w:val="false"/>
          <w:smallCaps w:val="false"/>
          <w:sz w:val="20"/>
        </w:rPr>
        <w:t xml:space="preserve">June 2, 2023, </w:t>
      </w:r>
      <w:r>
        <w:rPr>
          <w:rFonts w:ascii="Times New Roman" w:hAnsi="Times New Roman"/>
          <w:caps w:val="false"/>
          <w:smallCaps w:val="false"/>
          <w:sz w:val="20"/>
        </w:rPr>
        <w:t xml:space="preserve">CNIPA decided that the generic drug in Convalife’s ANDA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protection scope of claims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claims </w:t>
      </w:r>
      <w:r>
        <w:rPr>
          <w:rStyle w:val="Emphasis"/>
          <w:rFonts w:ascii="Times New Roman" w:hAnsi="Times New Roman"/>
          <w:caps w:val="false"/>
          <w:smallCaps w:val="false"/>
          <w:sz w:val="20"/>
        </w:rPr>
        <w:t>1</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9</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of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CNIPA administrative decisions on NERLYNX® Patents have lifted the stay of Convalife’s ANDA by NMPA. On </w:t>
      </w:r>
      <w:r>
        <w:rPr>
          <w:rStyle w:val="Emphasis"/>
          <w:rFonts w:ascii="Times New Roman" w:hAnsi="Times New Roman"/>
          <w:caps w:val="false"/>
          <w:smallCaps w:val="false"/>
          <w:sz w:val="20"/>
        </w:rPr>
        <w:t xml:space="preserve">June 28, 2024, </w:t>
      </w:r>
      <w:r>
        <w:rPr>
          <w:rFonts w:ascii="Times New Roman" w:hAnsi="Times New Roman"/>
          <w:caps w:val="false"/>
          <w:smallCaps w:val="false"/>
          <w:sz w:val="20"/>
        </w:rPr>
        <w:t xml:space="preserve">the NMPA approved Convalife’s ANDA to market a generic version of the Company’s NERLYNX® in China with the approval number of GuoYaoZhunZi </w:t>
      </w:r>
      <w:r>
        <w:rPr>
          <w:rStyle w:val="Emphasis"/>
          <w:rFonts w:ascii="Times New Roman" w:hAnsi="Times New Roman"/>
          <w:caps w:val="false"/>
          <w:smallCaps w:val="false"/>
          <w:sz w:val="20"/>
        </w:rPr>
        <w:t>H20244222.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Kelun 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Hunan Kelun Pharmaceutical Co., Ltd. (“Kelun”)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CYHS2300221.</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January 28, 2023, </w:t>
      </w:r>
      <w:r>
        <w:rPr>
          <w:rFonts w:ascii="Times New Roman" w:hAnsi="Times New Roman"/>
          <w:caps w:val="false"/>
          <w:smallCaps w:val="false"/>
          <w:sz w:val="20"/>
        </w:rPr>
        <w:t xml:space="preserve">Kelun made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declarations against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the Orange Book patents. Kelun also alleged that Patents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Chinese 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13, 2023, </w:t>
      </w:r>
      <w:r>
        <w:rPr>
          <w:rFonts w:ascii="Times New Roman" w:hAnsi="Times New Roman"/>
          <w:caps w:val="false"/>
          <w:smallCaps w:val="false"/>
          <w:sz w:val="20"/>
        </w:rPr>
        <w:t xml:space="preserve">the Company submitted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petitions against the Kelun ANDA with the CNIPA and requested administrative determination that Kelun’s generic neratinib tablet falls within the scope of the claims of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Orange Book patents. On </w:t>
      </w:r>
      <w:r>
        <w:rPr>
          <w:rStyle w:val="Emphasis"/>
          <w:rFonts w:ascii="Times New Roman" w:hAnsi="Times New Roman"/>
          <w:caps w:val="false"/>
          <w:smallCaps w:val="false"/>
          <w:sz w:val="20"/>
        </w:rPr>
        <w:t xml:space="preserve">March 21, 2023, </w:t>
      </w:r>
      <w:r>
        <w:rPr>
          <w:rFonts w:ascii="Times New Roman" w:hAnsi="Times New Roman"/>
          <w:caps w:val="false"/>
          <w:smallCaps w:val="false"/>
          <w:sz w:val="20"/>
        </w:rPr>
        <w:t xml:space="preserve">the CNIPA declined to accept the Company’s request for administrative determination in relation to Patent Nos. </w:t>
      </w:r>
      <w:r>
        <w:rPr>
          <w:rStyle w:val="Emphasis"/>
          <w:rFonts w:ascii="Times New Roman" w:hAnsi="Times New Roman"/>
          <w:caps w:val="false"/>
          <w:smallCaps w:val="false"/>
          <w:sz w:val="20"/>
        </w:rPr>
        <w:t>ZL200880118789.3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ZL201710057547.9,</w:t>
      </w:r>
      <w:r>
        <w:rPr>
          <w:rFonts w:ascii="Times New Roman" w:hAnsi="Times New Roman"/>
          <w:caps w:val="false"/>
          <w:smallCaps w:val="false"/>
          <w:sz w:val="20"/>
        </w:rPr>
        <w:t xml:space="preserve"> alleging that the listed claims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registration in the Chinese Orange Book on the ground that these pharmaceutical method-of-use claims fall within the scope of “patents of crystalline forms,”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eligible for listing in the Chinese Orange Book. On </w:t>
      </w:r>
      <w:r>
        <w:rPr>
          <w:rStyle w:val="Emphasis"/>
          <w:rFonts w:ascii="Times New Roman" w:hAnsi="Times New Roman"/>
          <w:caps w:val="false"/>
          <w:smallCaps w:val="false"/>
          <w:sz w:val="20"/>
        </w:rPr>
        <w:t xml:space="preserve">March 24, 2023, </w:t>
      </w:r>
      <w:r>
        <w:rPr>
          <w:rFonts w:ascii="Times New Roman" w:hAnsi="Times New Roman"/>
          <w:caps w:val="false"/>
          <w:smallCaps w:val="false"/>
          <w:sz w:val="20"/>
        </w:rPr>
        <w:t xml:space="preserve">the CNIPA accepted the Company’s request for administrative determination in relation to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April 17, 2023, </w:t>
      </w:r>
      <w:r>
        <w:rPr>
          <w:rFonts w:ascii="Times New Roman" w:hAnsi="Times New Roman"/>
          <w:caps w:val="false"/>
          <w:smallCaps w:val="false"/>
          <w:sz w:val="20"/>
        </w:rPr>
        <w:t xml:space="preserve">the Company requested the NMPA to institute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against Kelun’s ANDA starting from the CNIPA’s acceptance of the Company’s request for administrative determination. On </w:t>
      </w:r>
      <w:r>
        <w:rPr>
          <w:rStyle w:val="Emphasis"/>
          <w:rFonts w:ascii="Times New Roman" w:hAnsi="Times New Roman"/>
          <w:caps w:val="false"/>
          <w:smallCaps w:val="false"/>
          <w:sz w:val="20"/>
        </w:rPr>
        <w:t xml:space="preserve">September 14, 2023, </w:t>
      </w:r>
      <w:r>
        <w:rPr>
          <w:rFonts w:ascii="Times New Roman" w:hAnsi="Times New Roman"/>
          <w:caps w:val="false"/>
          <w:smallCaps w:val="false"/>
          <w:sz w:val="20"/>
        </w:rPr>
        <w:t xml:space="preserve">the Company withdrew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requests for administrative determination in relation to Chinese Patent Nos.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at the CNIPA. On </w:t>
      </w:r>
      <w:r>
        <w:rPr>
          <w:rStyle w:val="Emphasis"/>
          <w:rFonts w:ascii="Times New Roman" w:hAnsi="Times New Roman"/>
          <w:caps w:val="false"/>
          <w:smallCaps w:val="false"/>
          <w:sz w:val="20"/>
        </w:rPr>
        <w:t xml:space="preserve">September 25, 2023, </w:t>
      </w:r>
      <w:r>
        <w:rPr>
          <w:rFonts w:ascii="Times New Roman" w:hAnsi="Times New Roman"/>
          <w:caps w:val="false"/>
          <w:smallCaps w:val="false"/>
          <w:sz w:val="20"/>
        </w:rPr>
        <w:t xml:space="preserve">the CNIPA accepted the Company’s withdrawal request. On </w:t>
      </w:r>
      <w:r>
        <w:rPr>
          <w:rStyle w:val="Emphasis"/>
          <w:rFonts w:ascii="Times New Roman" w:hAnsi="Times New Roman"/>
          <w:caps w:val="false"/>
          <w:smallCaps w:val="false"/>
          <w:sz w:val="20"/>
        </w:rPr>
        <w:t xml:space="preserve">September 9, 2025, </w:t>
      </w:r>
      <w:r>
        <w:rPr>
          <w:rFonts w:ascii="Times New Roman" w:hAnsi="Times New Roman"/>
          <w:caps w:val="false"/>
          <w:smallCaps w:val="false"/>
          <w:sz w:val="20"/>
        </w:rPr>
        <w:t xml:space="preserve">the NMPA approved Kelun’s ANDA to market a generic version of the Company’s NERLYNX® in China with the approval number of GuoYaoZhunZi </w:t>
      </w:r>
      <w:r>
        <w:rPr>
          <w:rStyle w:val="Emphasis"/>
          <w:rFonts w:ascii="Times New Roman" w:hAnsi="Times New Roman"/>
          <w:caps w:val="false"/>
          <w:smallCaps w:val="false"/>
          <w:sz w:val="20"/>
        </w:rPr>
        <w:t>H20255337.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Demai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Zhengzhou Demai Pharmaceutical Co., Ltd (“Demai”) filed an ANDA with NMPA in China seeking approval to market a generic version of the Company’s NERLYNX®. The ANDA application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CYHS2402776.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August 26, 2024, </w:t>
      </w:r>
      <w:r>
        <w:rPr>
          <w:rFonts w:ascii="Times New Roman" w:hAnsi="Times New Roman"/>
          <w:caps w:val="false"/>
          <w:smallCaps w:val="false"/>
          <w:sz w:val="20"/>
        </w:rPr>
        <w:t xml:space="preserve">Demai made a Type </w:t>
      </w:r>
      <w:r>
        <w:rPr>
          <w:rStyle w:val="Emphasis"/>
          <w:rFonts w:ascii="Times New Roman" w:hAnsi="Times New Roman"/>
          <w:caps w:val="false"/>
          <w:smallCaps w:val="false"/>
          <w:sz w:val="20"/>
        </w:rPr>
        <w:t>4.2</w:t>
      </w:r>
      <w:r>
        <w:rPr>
          <w:rFonts w:ascii="Times New Roman" w:hAnsi="Times New Roman"/>
          <w:caps w:val="false"/>
          <w:smallCaps w:val="false"/>
          <w:sz w:val="20"/>
        </w:rPr>
        <w:t xml:space="preserve"> declaration against Orange Book Patent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alleging that its generic version of NERLYNX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fall within the scope of the claims of this Orange Book patent. On </w:t>
      </w:r>
      <w:r>
        <w:rPr>
          <w:rStyle w:val="Emphasis"/>
          <w:rFonts w:ascii="Times New Roman" w:hAnsi="Times New Roman"/>
          <w:caps w:val="false"/>
          <w:smallCaps w:val="false"/>
          <w:sz w:val="20"/>
        </w:rPr>
        <w:t xml:space="preserve">September 30,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and on </w:t>
      </w:r>
      <w:r>
        <w:rPr>
          <w:rStyle w:val="Emphasis"/>
          <w:rFonts w:ascii="Times New Roman" w:hAnsi="Times New Roman"/>
          <w:caps w:val="false"/>
          <w:smallCaps w:val="false"/>
          <w:sz w:val="20"/>
        </w:rPr>
        <w:t xml:space="preserve">October 8, 2024, </w:t>
      </w:r>
      <w:r>
        <w:rPr>
          <w:rFonts w:ascii="Times New Roman" w:hAnsi="Times New Roman"/>
          <w:caps w:val="false"/>
          <w:smallCaps w:val="false"/>
          <w:sz w:val="20"/>
        </w:rPr>
        <w:t xml:space="preserve">the Company filed a lawsuit against Demai at the BJIPC based on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ZL201410082103.7.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13, 2025, </w:t>
      </w:r>
      <w:r>
        <w:rPr>
          <w:rFonts w:ascii="Times New Roman" w:hAnsi="Times New Roman"/>
          <w:caps w:val="false"/>
          <w:smallCaps w:val="false"/>
          <w:sz w:val="20"/>
        </w:rPr>
        <w:t xml:space="preserve">the Company withdrew the lawsuits from BJIPC, filed an Article </w:t>
      </w:r>
      <w:r>
        <w:rPr>
          <w:rStyle w:val="Emphasis"/>
          <w:rFonts w:ascii="Times New Roman" w:hAnsi="Times New Roman"/>
          <w:caps w:val="false"/>
          <w:smallCaps w:val="false"/>
          <w:sz w:val="20"/>
        </w:rPr>
        <w:t>76</w:t>
      </w:r>
      <w:r>
        <w:rPr>
          <w:rFonts w:ascii="Times New Roman" w:hAnsi="Times New Roman"/>
          <w:caps w:val="false"/>
          <w:smallCaps w:val="false"/>
          <w:sz w:val="20"/>
        </w:rPr>
        <w:t xml:space="preserve"> petition with the CNIPA against the Demai ANDA and requested administrative determination that Demai’s generic neratinib maleate tablet falls within the scope of the claims of Nerlynx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ZL201080060546.6.</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February 21, 2025, </w:t>
      </w:r>
      <w:r>
        <w:rPr>
          <w:rFonts w:ascii="Times New Roman" w:hAnsi="Times New Roman"/>
          <w:caps w:val="false"/>
          <w:smallCaps w:val="false"/>
          <w:sz w:val="20"/>
        </w:rPr>
        <w:t xml:space="preserve">the CNIPA accepted the Company’s petition and started examination. On </w:t>
      </w:r>
      <w:r>
        <w:rPr>
          <w:rStyle w:val="Emphasis"/>
          <w:rFonts w:ascii="Times New Roman" w:hAnsi="Times New Roman"/>
          <w:caps w:val="false"/>
          <w:smallCaps w:val="false"/>
          <w:sz w:val="20"/>
        </w:rPr>
        <w:t xml:space="preserve">March 18, 2025, </w:t>
      </w:r>
      <w:r>
        <w:rPr>
          <w:rFonts w:ascii="Times New Roman" w:hAnsi="Times New Roman"/>
          <w:caps w:val="false"/>
          <w:smallCaps w:val="false"/>
          <w:sz w:val="20"/>
        </w:rPr>
        <w:t xml:space="preserve">the Company filed a request with the NMPA to set up a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-month stay on Demai’s ANDA. On </w:t>
      </w:r>
      <w:r>
        <w:rPr>
          <w:rStyle w:val="Emphasis"/>
          <w:rFonts w:ascii="Times New Roman" w:hAnsi="Times New Roman"/>
          <w:caps w:val="false"/>
          <w:smallCaps w:val="false"/>
          <w:sz w:val="20"/>
        </w:rPr>
        <w:t xml:space="preserve">November 4, 2025, </w:t>
      </w:r>
      <w:r>
        <w:rPr>
          <w:rFonts w:ascii="Times New Roman" w:hAnsi="Times New Roman"/>
          <w:caps w:val="false"/>
          <w:smallCaps w:val="false"/>
          <w:sz w:val="20"/>
        </w:rPr>
        <w:t xml:space="preserve">the NMPA approved Demai’s ANDA to market a generic version of Puma’s NERLYNX® in China with the approval number of GuoYaoZhunZi </w:t>
      </w:r>
      <w:r>
        <w:rPr>
          <w:rStyle w:val="Emphasis"/>
          <w:rFonts w:ascii="Times New Roman" w:hAnsi="Times New Roman"/>
          <w:caps w:val="false"/>
          <w:smallCaps w:val="false"/>
          <w:sz w:val="20"/>
        </w:rPr>
        <w:t>H20255844.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Hexal European Patent Opposition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An opposition was filed by Hexal AG (“Hexal”) on </w:t>
      </w:r>
      <w:r>
        <w:rPr>
          <w:rStyle w:val="Emphasis"/>
          <w:rFonts w:ascii="Times New Roman" w:hAnsi="Times New Roman"/>
          <w:caps w:val="false"/>
          <w:smallCaps w:val="false"/>
          <w:sz w:val="20"/>
        </w:rPr>
        <w:t xml:space="preserve">August 3, 2016 </w:t>
      </w:r>
      <w:r>
        <w:rPr>
          <w:rFonts w:ascii="Times New Roman" w:hAnsi="Times New Roman"/>
          <w:caps w:val="false"/>
          <w:smallCaps w:val="false"/>
          <w:sz w:val="20"/>
        </w:rPr>
        <w:t xml:space="preserve">against European Patent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EP2416774</w:t>
      </w:r>
      <w:r>
        <w:rPr>
          <w:rFonts w:ascii="Times New Roman" w:hAnsi="Times New Roman"/>
          <w:caps w:val="false"/>
          <w:smallCaps w:val="false"/>
          <w:sz w:val="20"/>
        </w:rPr>
        <w:t xml:space="preserve"> which was licensed from Pfizer in </w:t>
      </w:r>
      <w:r>
        <w:rPr>
          <w:rStyle w:val="Emphasis"/>
          <w:rFonts w:ascii="Times New Roman" w:hAnsi="Times New Roman"/>
          <w:caps w:val="false"/>
          <w:smallCaps w:val="false"/>
          <w:sz w:val="20"/>
        </w:rPr>
        <w:t>2011,</w:t>
      </w:r>
      <w:r>
        <w:rPr>
          <w:rFonts w:ascii="Times New Roman" w:hAnsi="Times New Roman"/>
          <w:caps w:val="false"/>
          <w:smallCaps w:val="false"/>
          <w:sz w:val="20"/>
        </w:rPr>
        <w:t xml:space="preserve"> and which claims neratinib for use in a method for treating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and improving IDFS, wherein the method comprises delivering neratinib therapy to HER-</w:t>
      </w:r>
      <w:r>
        <w:rPr>
          <w:rStyle w:val="Emphasis"/>
          <w:rFonts w:ascii="Times New Roman" w:hAnsi="Times New Roman"/>
          <w:caps w:val="false"/>
          <w:smallCaps w:val="false"/>
          <w:sz w:val="20"/>
        </w:rPr>
        <w:t>2/neu</w:t>
      </w:r>
      <w:r>
        <w:rPr>
          <w:rFonts w:ascii="Times New Roman" w:hAnsi="Times New Roman"/>
          <w:caps w:val="false"/>
          <w:smallCaps w:val="false"/>
          <w:sz w:val="20"/>
        </w:rPr>
        <w:t xml:space="preserve"> overexpressed/amplified cancer patients following the completion of at least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of trastuzumab adjuvant therapy, and wherein the neratinib therapy comprises treating the cancer patients with neratinib for at least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An oral hearing was held on </w:t>
      </w:r>
      <w:r>
        <w:rPr>
          <w:rStyle w:val="Emphasis"/>
          <w:rFonts w:ascii="Times New Roman" w:hAnsi="Times New Roman"/>
          <w:caps w:val="false"/>
          <w:smallCaps w:val="false"/>
          <w:sz w:val="20"/>
        </w:rPr>
        <w:t xml:space="preserve">December 8, 2017, </w:t>
      </w:r>
      <w:r>
        <w:rPr>
          <w:rFonts w:ascii="Times New Roman" w:hAnsi="Times New Roman"/>
          <w:caps w:val="false"/>
          <w:smallCaps w:val="false"/>
          <w:sz w:val="20"/>
        </w:rPr>
        <w:t xml:space="preserve">wherein the patent was maintained as granted. Following an appeal filed by Hexal, the Board of Appeal of the European Patent Office rejected the claims as granted and all pending auxiliary requests during the oral hearing of </w:t>
      </w:r>
      <w:r>
        <w:rPr>
          <w:rStyle w:val="Emphasis"/>
          <w:rFonts w:ascii="Times New Roman" w:hAnsi="Times New Roman"/>
          <w:caps w:val="false"/>
          <w:smallCaps w:val="false"/>
          <w:sz w:val="20"/>
        </w:rPr>
        <w:t xml:space="preserve">September 2, 2021. </w:t>
      </w:r>
      <w:r>
        <w:rPr>
          <w:rFonts w:ascii="Times New Roman" w:hAnsi="Times New Roman"/>
          <w:caps w:val="false"/>
          <w:smallCaps w:val="false"/>
          <w:sz w:val="20"/>
        </w:rPr>
        <w:t xml:space="preserve">Before issuance of a decision, the Company withdrew approval of the text in which the patent was granted and all pending auxiliary requests, thereby revoking the patent and concluding the appeal. One European divisional application, namely </w:t>
      </w:r>
      <w:r>
        <w:rPr>
          <w:rStyle w:val="Emphasis"/>
          <w:rFonts w:ascii="Times New Roman" w:hAnsi="Times New Roman"/>
          <w:caps w:val="false"/>
          <w:smallCaps w:val="false"/>
          <w:sz w:val="20"/>
        </w:rPr>
        <w:t>EP15188350.1,</w:t>
      </w:r>
      <w:r>
        <w:rPr>
          <w:rFonts w:ascii="Times New Roman" w:hAnsi="Times New Roman"/>
          <w:caps w:val="false"/>
          <w:smallCaps w:val="false"/>
          <w:sz w:val="20"/>
        </w:rPr>
        <w:t xml:space="preserve"> was granted with the European patent number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on </w:t>
      </w:r>
      <w:r>
        <w:rPr>
          <w:rStyle w:val="Emphasis"/>
          <w:rFonts w:ascii="Times New Roman" w:hAnsi="Times New Roman"/>
          <w:caps w:val="false"/>
          <w:smallCaps w:val="false"/>
          <w:sz w:val="20"/>
        </w:rPr>
        <w:t xml:space="preserve">March 1, 2023. </w:t>
      </w:r>
      <w:r>
        <w:rPr>
          <w:rFonts w:ascii="Times New Roman" w:hAnsi="Times New Roman"/>
          <w:caps w:val="false"/>
          <w:smallCaps w:val="false"/>
          <w:sz w:val="20"/>
        </w:rPr>
        <w:t xml:space="preserve">Oppositions against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were filed by Hexal on </w:t>
      </w:r>
      <w:r>
        <w:rPr>
          <w:rStyle w:val="Emphasis"/>
          <w:rFonts w:ascii="Times New Roman" w:hAnsi="Times New Roman"/>
          <w:caps w:val="false"/>
          <w:smallCaps w:val="false"/>
          <w:sz w:val="20"/>
        </w:rPr>
        <w:t xml:space="preserve">November 3, 2023, </w:t>
      </w:r>
      <w:r>
        <w:rPr>
          <w:rFonts w:ascii="Times New Roman" w:hAnsi="Times New Roman"/>
          <w:caps w:val="false"/>
          <w:smallCaps w:val="false"/>
          <w:sz w:val="20"/>
        </w:rPr>
        <w:t xml:space="preserve">by Alfred E. Tiefenbacher (GmbH &amp; Co. KG) on </w:t>
      </w:r>
      <w:r>
        <w:rPr>
          <w:rStyle w:val="Emphasis"/>
          <w:rFonts w:ascii="Times New Roman" w:hAnsi="Times New Roman"/>
          <w:caps w:val="false"/>
          <w:smallCaps w:val="false"/>
          <w:sz w:val="20"/>
        </w:rPr>
        <w:t xml:space="preserve">November 28, 2023 </w:t>
      </w:r>
      <w:r>
        <w:rPr>
          <w:rFonts w:ascii="Times New Roman" w:hAnsi="Times New Roman"/>
          <w:caps w:val="false"/>
          <w:smallCaps w:val="false"/>
          <w:sz w:val="20"/>
        </w:rPr>
        <w:t xml:space="preserve">and by Generics (UK) Limited (“Generics”) on </w:t>
      </w:r>
      <w:r>
        <w:rPr>
          <w:rStyle w:val="Emphasis"/>
          <w:rFonts w:ascii="Times New Roman" w:hAnsi="Times New Roman"/>
          <w:caps w:val="false"/>
          <w:smallCaps w:val="false"/>
          <w:sz w:val="20"/>
        </w:rPr>
        <w:t>December 1, 2023. EP3000467</w:t>
      </w:r>
      <w:r>
        <w:rPr>
          <w:rFonts w:ascii="Times New Roman" w:hAnsi="Times New Roman"/>
          <w:caps w:val="false"/>
          <w:smallCaps w:val="false"/>
          <w:sz w:val="20"/>
        </w:rPr>
        <w:t xml:space="preserve"> is used as the basic patent for Supplementary Protection Certificate applications for the EMA-approved NERLYNX® product,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 of which have been granted,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proceedings have been stayed, and </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are in active prosecution. The patentee response to the notice of opposition was filed on </w:t>
      </w:r>
      <w:r>
        <w:rPr>
          <w:rStyle w:val="Emphasis"/>
          <w:rFonts w:ascii="Times New Roman" w:hAnsi="Times New Roman"/>
          <w:caps w:val="false"/>
          <w:smallCaps w:val="false"/>
          <w:sz w:val="20"/>
        </w:rPr>
        <w:t xml:space="preserve">April 15, 2024, </w:t>
      </w:r>
      <w:r>
        <w:rPr>
          <w:rFonts w:ascii="Times New Roman" w:hAnsi="Times New Roman"/>
          <w:caps w:val="false"/>
          <w:smallCaps w:val="false"/>
          <w:sz w:val="20"/>
        </w:rPr>
        <w:t xml:space="preserve">following which,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opponents filed additional arguments in reply to the patentee’s submission. On </w:t>
      </w:r>
      <w:r>
        <w:rPr>
          <w:rStyle w:val="Emphasis"/>
          <w:rFonts w:ascii="Times New Roman" w:hAnsi="Times New Roman"/>
          <w:caps w:val="false"/>
          <w:smallCaps w:val="false"/>
          <w:sz w:val="20"/>
        </w:rPr>
        <w:t xml:space="preserve">February 6, 2025, </w:t>
      </w:r>
      <w:r>
        <w:rPr>
          <w:rFonts w:ascii="Times New Roman" w:hAnsi="Times New Roman"/>
          <w:caps w:val="false"/>
          <w:smallCaps w:val="false"/>
          <w:sz w:val="20"/>
        </w:rPr>
        <w:t xml:space="preserve">the Company filed its response to the summons to attend oral proceedings, including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auxiliary requests. Alfred E. Tiefenbacher and Hexal filed their responses to the summons to oral proceedings on </w:t>
      </w:r>
      <w:r>
        <w:rPr>
          <w:rStyle w:val="Emphasis"/>
          <w:rFonts w:ascii="Times New Roman" w:hAnsi="Times New Roman"/>
          <w:caps w:val="false"/>
          <w:smallCaps w:val="false"/>
          <w:sz w:val="20"/>
        </w:rPr>
        <w:t xml:space="preserve">February 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Hexal filed a further brief on </w:t>
      </w:r>
      <w:r>
        <w:rPr>
          <w:rStyle w:val="Emphasis"/>
          <w:rFonts w:ascii="Times New Roman" w:hAnsi="Times New Roman"/>
          <w:caps w:val="false"/>
          <w:smallCaps w:val="false"/>
          <w:sz w:val="20"/>
        </w:rPr>
        <w:t xml:space="preserve">March 19, 2025. </w:t>
      </w:r>
      <w:r>
        <w:rPr>
          <w:rFonts w:ascii="Times New Roman" w:hAnsi="Times New Roman"/>
          <w:caps w:val="false"/>
          <w:smallCaps w:val="false"/>
          <w:sz w:val="20"/>
        </w:rPr>
        <w:t xml:space="preserve">Oral proceedings took place on </w:t>
      </w:r>
      <w:r>
        <w:rPr>
          <w:rStyle w:val="Emphasis"/>
          <w:rFonts w:ascii="Times New Roman" w:hAnsi="Times New Roman"/>
          <w:caps w:val="false"/>
          <w:smallCaps w:val="false"/>
          <w:sz w:val="20"/>
        </w:rPr>
        <w:t xml:space="preserve">April 9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EP3000467</w:t>
      </w:r>
      <w:r>
        <w:rPr>
          <w:rFonts w:ascii="Times New Roman" w:hAnsi="Times New Roman"/>
          <w:caps w:val="false"/>
          <w:smallCaps w:val="false"/>
          <w:sz w:val="20"/>
        </w:rPr>
        <w:t xml:space="preserve"> was upheld as amended after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instance hearing based on Auxiliary Request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covers the EMA approved indication for NERLYNX® as an extended adjuvant therapy for treating early stage hormone receptor-positive HER-</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-overexpressed/amplified breast cancer. Hexal filed an appeal on </w:t>
      </w:r>
      <w:r>
        <w:rPr>
          <w:rStyle w:val="Emphasis"/>
          <w:rFonts w:ascii="Times New Roman" w:hAnsi="Times New Roman"/>
          <w:caps w:val="false"/>
          <w:smallCaps w:val="false"/>
          <w:sz w:val="20"/>
        </w:rPr>
        <w:t xml:space="preserve">June 6, 2025, </w:t>
      </w:r>
      <w:r>
        <w:rPr>
          <w:rFonts w:ascii="Times New Roman" w:hAnsi="Times New Roman"/>
          <w:caps w:val="false"/>
          <w:smallCaps w:val="false"/>
          <w:sz w:val="20"/>
        </w:rPr>
        <w:t xml:space="preserve">Generics filed an appeal on </w:t>
      </w:r>
      <w:r>
        <w:rPr>
          <w:rStyle w:val="Emphasis"/>
          <w:rFonts w:ascii="Times New Roman" w:hAnsi="Times New Roman"/>
          <w:caps w:val="false"/>
          <w:smallCaps w:val="false"/>
          <w:sz w:val="20"/>
        </w:rPr>
        <w:t xml:space="preserve">June 20, 2025 </w:t>
      </w:r>
      <w:r>
        <w:rPr>
          <w:rFonts w:ascii="Times New Roman" w:hAnsi="Times New Roman"/>
          <w:caps w:val="false"/>
          <w:smallCaps w:val="false"/>
          <w:sz w:val="20"/>
        </w:rPr>
        <w:t xml:space="preserve">and Wyeth filed an appeal on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5, 2025, </w:t>
      </w:r>
      <w:r>
        <w:rPr>
          <w:rFonts w:ascii="Times New Roman" w:hAnsi="Times New Roman"/>
          <w:caps w:val="false"/>
          <w:smallCaps w:val="false"/>
          <w:sz w:val="20"/>
        </w:rPr>
        <w:t xml:space="preserve">Wyeth filed its grounds of appeal, including </w:t>
      </w:r>
      <w:r>
        <w:rPr>
          <w:rStyle w:val="Emphasis"/>
          <w:rFonts w:ascii="Times New Roman" w:hAnsi="Times New Roman"/>
          <w:caps w:val="false"/>
          <w:smallCaps w:val="false"/>
          <w:sz w:val="20"/>
        </w:rPr>
        <w:t>nine</w:t>
      </w:r>
      <w:r>
        <w:rPr>
          <w:rFonts w:ascii="Times New Roman" w:hAnsi="Times New Roman"/>
          <w:caps w:val="false"/>
          <w:smallCaps w:val="false"/>
          <w:sz w:val="20"/>
        </w:rPr>
        <w:t xml:space="preserve"> auxiliary requests. On the same day, Hexal filed its grounds of appeal. Generics filed its grounds of appeal on </w:t>
      </w:r>
      <w:r>
        <w:rPr>
          <w:rStyle w:val="Emphasis"/>
          <w:rFonts w:ascii="Times New Roman" w:hAnsi="Times New Roman"/>
          <w:caps w:val="false"/>
          <w:smallCaps w:val="false"/>
          <w:sz w:val="20"/>
        </w:rPr>
        <w:t xml:space="preserve">September 4, 2025, </w:t>
      </w:r>
      <w:r>
        <w:rPr>
          <w:rFonts w:ascii="Times New Roman" w:hAnsi="Times New Roman"/>
          <w:caps w:val="false"/>
          <w:smallCaps w:val="false"/>
          <w:sz w:val="20"/>
        </w:rPr>
        <w:t xml:space="preserve">and Alfred E. Tiefenbacher filed its grounds of appeal on </w:t>
      </w:r>
      <w:r>
        <w:rPr>
          <w:rStyle w:val="Emphasis"/>
          <w:rFonts w:ascii="Times New Roman" w:hAnsi="Times New Roman"/>
          <w:caps w:val="false"/>
          <w:smallCaps w:val="false"/>
          <w:sz w:val="20"/>
        </w:rPr>
        <w:t xml:space="preserve">September 1, 2025.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16, 2025, </w:t>
      </w:r>
      <w:r>
        <w:rPr>
          <w:rFonts w:ascii="Times New Roman" w:hAnsi="Times New Roman"/>
          <w:caps w:val="false"/>
          <w:smallCaps w:val="false"/>
          <w:sz w:val="20"/>
        </w:rPr>
        <w:t xml:space="preserve">Alfred E. Tiefenbacher withdrew its appeal. Wyeth responded to the opponents’ grounds of appeal on </w:t>
      </w:r>
      <w:r>
        <w:rPr>
          <w:rStyle w:val="Emphasis"/>
          <w:rFonts w:ascii="Times New Roman" w:hAnsi="Times New Roman"/>
          <w:caps w:val="false"/>
          <w:smallCaps w:val="false"/>
          <w:sz w:val="20"/>
        </w:rPr>
        <w:t xml:space="preserve">January 12, 2026.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2, 2026, </w:t>
      </w:r>
      <w:r>
        <w:rPr>
          <w:rFonts w:ascii="Times New Roman" w:hAnsi="Times New Roman"/>
          <w:caps w:val="false"/>
          <w:smallCaps w:val="false"/>
          <w:sz w:val="20"/>
        </w:rPr>
        <w:t>Hexal withdrew its request for oral proceedings, but remains a party to the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One European divisional application is pending in the same family, namely EP </w:t>
      </w:r>
      <w:r>
        <w:rPr>
          <w:rStyle w:val="Emphasis"/>
          <w:rFonts w:ascii="Times New Roman" w:hAnsi="Times New Roman"/>
          <w:caps w:val="false"/>
          <w:smallCaps w:val="false"/>
          <w:sz w:val="20"/>
        </w:rPr>
        <w:t>23157078.8.</w:t>
      </w:r>
      <w:r>
        <w:rPr>
          <w:rFonts w:ascii="Times New Roman" w:hAnsi="Times New Roman"/>
          <w:caps w:val="false"/>
          <w:smallCaps w:val="false"/>
          <w:sz w:val="20"/>
        </w:rPr>
        <w:t xml:space="preserve"> A response to the European Search Opinion (“ESO”) for this application was filed </w:t>
      </w:r>
      <w:r>
        <w:rPr>
          <w:rStyle w:val="Emphasis"/>
          <w:rFonts w:ascii="Times New Roman" w:hAnsi="Times New Roman"/>
          <w:caps w:val="false"/>
          <w:smallCaps w:val="false"/>
          <w:sz w:val="20"/>
        </w:rPr>
        <w:t xml:space="preserve">February 14,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was issued on </w:t>
      </w:r>
      <w:r>
        <w:rPr>
          <w:rStyle w:val="Emphasis"/>
          <w:rFonts w:ascii="Times New Roman" w:hAnsi="Times New Roman"/>
          <w:caps w:val="false"/>
          <w:smallCaps w:val="false"/>
          <w:sz w:val="20"/>
        </w:rPr>
        <w:t xml:space="preserve">January 28, 2025 </w:t>
      </w:r>
      <w:r>
        <w:rPr>
          <w:rFonts w:ascii="Times New Roman" w:hAnsi="Times New Roman"/>
          <w:caps w:val="false"/>
          <w:smallCaps w:val="false"/>
          <w:sz w:val="20"/>
        </w:rPr>
        <w:t xml:space="preserve">with a response to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office action filed on </w:t>
      </w:r>
      <w:r>
        <w:rPr>
          <w:rStyle w:val="Emphasis"/>
          <w:rFonts w:ascii="Times New Roman" w:hAnsi="Times New Roman"/>
          <w:caps w:val="false"/>
          <w:smallCaps w:val="false"/>
          <w:sz w:val="20"/>
        </w:rPr>
        <w:t>July 22, 2025.</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702"/>
        <w:gridCol w:w="9503"/>
      </w:tblGrid>
      <w:tr>
        <w:trPr/>
        <w:tc>
          <w:tcPr>
            <w:tcW w:w="702"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sz w:val="20"/>
              </w:rPr>
              <w:t>Item</w:t>
            </w:r>
            <w:r>
              <w:rPr>
                <w:rFonts w:ascii="Times New Roman" w:hAnsi="Times New Roman"/>
                <w:b w:val="false"/>
                <w:sz w:val="20"/>
              </w:rPr>
              <w:t> </w:t>
            </w:r>
            <w:r>
              <w:rPr>
                <w:rFonts w:ascii="Times New Roman" w:hAnsi="Times New Roman"/>
                <w:b/>
                <w:sz w:val="20"/>
              </w:rPr>
              <w:t>2.</w:t>
            </w:r>
            <w:bookmarkStart w:id="9" w:name="mda"/>
            <w:bookmarkEnd w:id="9"/>
          </w:p>
        </w:tc>
        <w:tc>
          <w:tcPr>
            <w:tcW w:w="9503" w:type="dxa"/>
            <w:tcBorders/>
            <w:vAlign w:val="center"/>
          </w:tcPr>
          <w:p>
            <w:pPr>
              <w:pStyle w:val="TableContents"/>
              <w:bidi w:val="0"/>
              <w:spacing w:before="0" w:after="0"/>
              <w:ind w:left="0" w:right="0" w:hanging="0"/>
              <w:jc w:val="left"/>
              <w:rPr>
                <w:rFonts w:ascii="Times New Roman" w:hAnsi="Times New Roman"/>
                <w:b w:val="false"/>
                <w:sz w:val="20"/>
              </w:rPr>
            </w:pPr>
            <w:r>
              <w:rPr>
                <w:rFonts w:ascii="Times New Roman" w:hAnsi="Times New Roman"/>
                <w:b/>
                <w:sz w:val="20"/>
              </w:rPr>
              <w:t>MANAGEMENT</w:t>
            </w:r>
            <w:r>
              <w:rPr>
                <w:rFonts w:ascii="Times New Roman" w:hAnsi="Times New Roman"/>
                <w:b w:val="false"/>
                <w:sz w:val="20"/>
              </w:rPr>
              <w:t>’</w:t>
            </w:r>
            <w:r>
              <w:rPr>
                <w:rFonts w:ascii="Times New Roman" w:hAnsi="Times New Roman"/>
                <w:b/>
                <w:sz w:val="20"/>
              </w:rPr>
              <w:t>S DISCUSSION AND ANALYSIS OF FINANCIAL CONDITION AND RESULTS OF OPERATIONS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discussion and analysis of our financial condition and results of operations should be read in conjunction with our unaudited condensed consolidated financial statements and the notes thereto included in Item 1 in this Quarterly Report on Form 10-Q (this “Quarterly Report”). The following discussion should also be read in conjunction with our audited consolidated financial statements and the notes thereto and “Management’s Discussion and Analysis of Financial Condition and Results of Operations” included in our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Unless otherwise provided in this Quarterly Report, references to the “Company,” “we,” “us,” and “our” refer to Puma Biotechnology, Inc., a Delaware corporation, together with its wholly owned subsidiary.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Overview</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are a biopharmaceutical company that develops and commercializes innovative products to enhance cancer care and improve treatment outcomes for patients. We are currently commercializing NERLYNX, an oral version of neratinib, for the treatment of certain HER2-positive breast cancers. Additionally, in 2022, we in-licensed and became responsible for the global development and commercialization of alisertib. Alisertib is a selective, small-molecule inhibitor of Aurora Kinase A that is designed to disrupt mitosis leading to apoptosis of rapidly proliferating tumor cells that are dependent on Aurora Kinase A. Prior to our licensing alisertib from Takeda, alisertib was tested in over 1,300 patients who were treated across 22 company-sponsored trials resulting in a large, well-characterized clinical safety database. Based on information in this database, we believe alisertib has potential application in the treatment of a range of different cancer types, including hormone receptor-positive breast cancer, triple-negative breast cancer, and small cell lung cancer. We intend to pursue development of alisertib initially in small cell lung cancer and hormone receptor-positive breast cancer.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NERLYNX is currently approved in the United States for two indications: the extended adjuvant treatment of adult patients with early stage HER2-overexpressed/amplified breast cancer following adjuvant trastuzumab-based therapy and for use in combination with capecitabine for the treatment of adult patients with advanced or metastatic HER2-positive breast cancer who have received two or more prior anti-HER2-based regimens in the metastatic setting.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currently market NERLYNX in the United States using our direct specialty sales force consisting of approximate</w:t>
      </w:r>
      <w:r>
        <w:rPr>
          <w:rFonts w:ascii="Times New Roman" w:hAnsi="Times New Roman"/>
          <w:caps w:val="false"/>
          <w:smallCaps w:val="false"/>
          <w:sz w:val="20"/>
          <w:shd w:fill="FFFFFF" w:val="clear"/>
        </w:rPr>
        <w:t>ly 38 sales specialists a</w:t>
      </w:r>
      <w:r>
        <w:rPr>
          <w:rFonts w:ascii="Times New Roman" w:hAnsi="Times New Roman"/>
          <w:caps w:val="false"/>
          <w:smallCaps w:val="false"/>
          <w:sz w:val="20"/>
        </w:rPr>
        <w:t>s of June 30, 2026. Our sales specialists are supported by an experienced sales leadership team consisting of regional managers and directors, as well as a commercial team of experienced professionals in marketing, access and reimbursement, managed markets, marketing research, commercial operations and sales force planning and management. Outside the United States, we seek to enter into exclusive sub-license agreements with third parties to pursue regulatory approval, if necessary, and commercialize NERLYNX, if approved. As of June 30, 2026, NERLYNX has received approval for the treatment of certain patients with extended adjuvant or metastatic HER2-positive breast cancer in over 60 countries outside the United States. We are currently party to several sub-licenses in various regions outside the United States, including Europe (excluding Ukraine), Australia, Canada, China, Southeast Asia, Israel, South Korea, Russia and various countries and territories in Central America, South America, Africa and the Middle East.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 September 2022, we entered into an exclusive license agreement with Takeda Pharmaceutical Company Limited (“Takeda”) to license the worldwide research and development and commercial rights to alisertib. Alisertib is an investigational, reversible, ATP-competitive inhibitor that is designed to be highly selective for Aurora Kinase A. Inhibition of Aurora Kinase A can lead to disruption of mitotic spindle apparatus assembly, disruption of chromosome segregation, and inhibition of cell proliferation. In clinical trials to date, alisertib has shown single agent activity and activity in combination with other cancer drugs in the treatment of many different types of cancers, including hormone receptor-positive breast cancer, triple-negative breast cancer, small cell lung cancer and head and neck cancer. We initiated the ALISertib in CAncer (ALISCA</w:t>
      </w:r>
      <w:r>
        <w:rPr>
          <w:rFonts w:ascii="Times New Roman" w:hAnsi="Times New Roman"/>
          <w:caps w:val="false"/>
          <w:smallCaps w:val="false"/>
          <w:position w:val="7"/>
          <w:sz w:val="16"/>
          <w:sz w:val="20"/>
        </w:rPr>
        <w:t>®</w:t>
      </w:r>
      <w:r>
        <w:rPr>
          <w:rFonts w:ascii="Times New Roman" w:hAnsi="Times New Roman"/>
          <w:caps w:val="false"/>
          <w:smallCaps w:val="false"/>
          <w:sz w:val="20"/>
        </w:rPr>
        <w:t> -Lung1) Phase II trial (PUMA-ALI-4201) of alisertib monotherapy for the treatment of patients with extensive stage small cell lung cancer in February 2024, and we commenced the ALISCA™ -Breast1 Phase II trial (PUMA-ALI-1201) in November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the terms of the exclusive license agreement, we assumed sole responsibility for the global development and commercialization of alisertib. We paid Takeda an upfront license fee of $7.0 million in October 2022</w:t>
      </w:r>
      <w:r>
        <w:rPr>
          <w:rFonts w:ascii="Times New Roman" w:hAnsi="Times New Roman"/>
          <w:caps w:val="false"/>
          <w:smallCaps w:val="false"/>
          <w:sz w:val="20"/>
          <w:u w:val="single"/>
        </w:rPr>
        <w:t>,</w:t>
      </w:r>
      <w:r>
        <w:rPr>
          <w:rFonts w:ascii="Times New Roman" w:hAnsi="Times New Roman"/>
          <w:caps w:val="false"/>
          <w:smallCaps w:val="false"/>
          <w:sz w:val="20"/>
        </w:rPr>
        <w:t xml:space="preserve"> and it is eligible to receive potential future milestone payments of up to $287.3 million upon our achievement of certain regulatory and commercial milestones over the course of the exclusive license agreement, as well as tiered royalty payments for any net sales of alisertib. We recorded in-process research and development expense of $7.0 million during the year ended December 31, 2022 in connection with the upfront payment related to the asset acquisition. As of June 30, 2026, no milestones had been accrued as the underlying contingencies were not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expenses to date have been related to hiring staff, commencing company-sponsored clinical trials, building out of our corporate infrastructure and, since 2017, the commercial launch of NERLYNX. Going forward, we anticipate significant expenses as we continue to develop alisertib in 2026. Accordingly, our success depends not only on the safety and efficacy of our drug candidates, but also on our ability to finance product development. To date, our major sources of working capital have been proceeds from product and license revenue, public and private offerings of our common stock, and proceeds from debt financings. We intend to satisfy our near-term liquidity requirements through a combination of our existing cash and cash equivalents and marketable securities as of June 30, 2026, and proceeds that we expect to become available to us through product sales, royalties, and sub-license milestone payments. However, this intention is based on assumptions that may prove to be wrong. Changes may occur that would consume our available capital faster than anticipated, including changes in and progress of our development activities, the impact of commercialization efforts, acquisition of additional drug candidates and changes in regulation. Some of these developments have had and may continue to have an adverse effect on our revenue.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Policies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the date of the filing of this Quarterly Report, we believe there have been no material changes to our critical accounting policies and estimates during the six months ended June 30, 2026 from our accounting policies at December 31, 2025, as reported in our Annual Report on Form 10-K for the fiscal year ended December 31, 2025.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Summary of Income and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Product revenue,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net consists of revenue from sales of NERLYNX. We sell NERLYNX to a limited number of specialty pharmacies and specialty distributors in the United States. We record revenue at the net sales price, which includes an estimate for variable consideration for which reserves are established. Variable consideration consists of trade discounts and allowances, product returns, provider chargebacks and discounts, government rebates, and other incentives.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Product revenue also consists of product sales under sub-license agreements to our sub-licensees, who then sell into their respective international territories.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License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License revenue consists of consideration earned for performance obligations satisfied pursuant to our sub-license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Royalty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Royalty revenue consists of consideration earned related to product sales made by our sub-licensees in their respective territories pursuant to our sub-license agreements.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our sub-license agreement covering China, the royalty rate payable to us is subject to reduction when the market share of generic versions of NERLYNX in China reaches a specified threshold. We are unable to predict with certainty when this threshold will be reached. However, we believe it is possible that the threshold could be reached, triggering the royalty rate reduction, in late 2026 or in 2027.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Cost of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Cost of sales consists of third-party manufacturing costs, freight, and indirect overhead costs associated with sales of NERLYNX. Cost of product sales also includes period costs related to royalty charges payable to Pfizer, the amortization of milestone payments made under our license agreement with Pfizer, certain inventory manufacturing services, inventory adjustment charges, unabsorbed manufacturing and overhead costs, and manufacturing variances. Cost of sales includes applicable license termination fees.</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Selling, general and administrative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expenses (“SG&amp;A expenses”) consist primarily of salaries and payroll-related costs, stock-based compensation expense, professional fees, business insurance, rent, general legal activities, credit loss expense, and other corporate expenses. We expense SG&amp;A expenses as they are incurred.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Research and development expenses (“R&amp;D expenses”) include costs associated with services provided by consultants who conduct and perform clinical services on our behalf and contract organizations for the manufacturing of clinical materials. During the three and six months ended June 30, 2026 and 2025, our R&amp;D expenses consisted primarily of clinical research organization (“CRO fees”); fees paid to consultants; salaries and related personnel costs; and stock-based compensation. We expense our R&amp;D expenses as they are incurred. Internal R&amp;D expenses primarily consist of payroll-related costs and also include equipment costs, travel expenses, and supplies.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Tariffs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We do not believe that tariffs imposed or proposed to be imposed by the United States, particularly with the EU and China, will have a material impact on our product costs or results of operations. However, shifts in trade policies in the United States and other countries have been rapidly evolving and are difficult to predict. The ultimate impact of any announced or future tariffs will depend on various factors, including what tariffs are ultimately implemented, the timing of implementation and the amount, scope and nature of such tariffs and potential exclusions from the application of those tariffs.</w:t>
      </w:r>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On April 2, 2026, the U.S. government issued a proclamation under Section 232 of the Trade Expansion Act of 1962, imposing a 100% ad valorem duty, subject to specified exclusions, on the import of patented pharmaceutical products listed in the FDA’s Orange Book or Purple Book, as well as their associated APIs. A reduced 20% rate is available to companies with onshoring plans approved by the U.S. Secretary of Commerce, although this reduced rate is scheduled to increase to 100% over a four-year period. These tariffs become effective on July 31, 2026 for certain large companies and will become effective on September 29, 2026 for all other companies. The potential impact of the proclamation on the Company, including any indirect effect, remains uncertain and under review.</w:t>
      </w:r>
      <w:r>
        <w:rPr>
          <w:rFonts w:ascii="Times New Roman" w:hAnsi="Times New Roman"/>
          <w:caps w:val="false"/>
          <w:smallCaps w:val="false"/>
          <w:sz w:val="20"/>
        </w:rPr>
        <w:t xml:space="preserve"> </w:t>
      </w:r>
    </w:p>
    <w:p>
      <w:pPr>
        <w:pStyle w:val="TextBody"/>
        <w:bidi w:val="0"/>
        <w:jc w:val="left"/>
        <w:rPr>
          <w:caps w:val="false"/>
          <w:smallCaps w:val="false"/>
        </w:rPr>
      </w:pPr>
      <w:r>
        <w:rPr>
          <w:caps w:val="false"/>
          <w:smallCaps w:val="false"/>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Results of Operations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u w:val="single"/>
          <w:shd w:fill="FFFFFF" w:val="clear"/>
        </w:rPr>
        <w:t>Three Months Ended June 30, 2026 Compared to Three Months Ended June 30,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Total revenue: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Total revenue for the three months ended June 30, 2026 was approximately $56.5 million, compared to $52.4 million for the three months ended June 30, 2025. This increase in total revenue was due to an increase in product revenue, net of approximately $4.4 million, partially offset by a decrease in royalty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Product revenue,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Product revenue, net was approximately $53.6 million for the three months ended June 30, 2026, compared to $49.2 million for the three months ended June 30, 2025. This increase in product revenue, net, compared to the three months ended June 30, 2025, was primarily attributable to a 12.3% increase in domestic bottles sold and an increase in selling price, partially offset by a greater deduction to gross revenue for variable consideration, primarily related to higher Medicaid related deductions.</w:t>
      </w:r>
      <w:r>
        <w:rPr>
          <w:rFonts w:ascii="Times New Roman" w:hAnsi="Times New Roman"/>
          <w:caps w:val="false"/>
          <w:smallCaps w:val="false"/>
          <w:sz w:val="20"/>
        </w:rPr>
        <w:t xml:space="preserve"> </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Royalty revenue: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Royalty revenue was approximately </w:t>
      </w:r>
      <w:r>
        <w:rPr>
          <w:rFonts w:ascii="Times New Roman" w:hAnsi="Times New Roman"/>
          <w:caps w:val="false"/>
          <w:smallCaps w:val="false"/>
          <w:sz w:val="20"/>
        </w:rPr>
        <w:t>$2.9 </w:t>
      </w:r>
      <w:r>
        <w:rPr>
          <w:rFonts w:ascii="Times New Roman" w:hAnsi="Times New Roman"/>
          <w:caps w:val="false"/>
          <w:smallCaps w:val="false"/>
          <w:sz w:val="20"/>
          <w:shd w:fill="FFFFFF" w:val="clear"/>
        </w:rPr>
        <w:t>million and $3.2 million for the three months ended </w:t>
      </w:r>
      <w:r>
        <w:rPr>
          <w:rFonts w:ascii="Times New Roman" w:hAnsi="Times New Roman"/>
          <w:caps w:val="false"/>
          <w:smallCaps w:val="false"/>
          <w:sz w:val="20"/>
        </w:rPr>
        <w:t>June 30, 2026 </w:t>
      </w:r>
      <w:r>
        <w:rPr>
          <w:rFonts w:ascii="Times New Roman" w:hAnsi="Times New Roman"/>
          <w:caps w:val="false"/>
          <w:smallCaps w:val="false"/>
          <w:sz w:val="20"/>
          <w:shd w:fill="FFFFFF" w:val="clear"/>
        </w:rPr>
        <w:t>and 2025. The decrease in royalty revenue was due to lower sales by our international partners.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Cost of sales: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Cost of sales was approximately </w:t>
      </w:r>
      <w:r>
        <w:rPr>
          <w:rFonts w:ascii="Times New Roman" w:hAnsi="Times New Roman"/>
          <w:caps w:val="false"/>
          <w:smallCaps w:val="false"/>
          <w:sz w:val="20"/>
        </w:rPr>
        <w:t>$12.5</w:t>
      </w:r>
      <w:r>
        <w:rPr>
          <w:rFonts w:ascii="Times New Roman" w:hAnsi="Times New Roman"/>
          <w:caps w:val="false"/>
          <w:smallCaps w:val="false"/>
          <w:sz w:val="20"/>
          <w:shd w:fill="FFFFFF" w:val="clear"/>
        </w:rPr>
        <w:t> million for the three months ended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compared to approximately </w:t>
      </w:r>
      <w:r>
        <w:rPr>
          <w:rFonts w:ascii="Times New Roman" w:hAnsi="Times New Roman"/>
          <w:caps w:val="false"/>
          <w:smallCaps w:val="false"/>
          <w:sz w:val="20"/>
        </w:rPr>
        <w:t>$12.3</w:t>
      </w:r>
      <w:r>
        <w:rPr>
          <w:rFonts w:ascii="Times New Roman" w:hAnsi="Times New Roman"/>
          <w:caps w:val="false"/>
          <w:smallCaps w:val="false"/>
          <w:sz w:val="20"/>
          <w:shd w:fill="FFFFFF" w:val="clear"/>
        </w:rPr>
        <w:t> million for the three months ended </w:t>
      </w:r>
      <w:r>
        <w:rPr>
          <w:rFonts w:ascii="Times New Roman" w:hAnsi="Times New Roman"/>
          <w:caps w:val="false"/>
          <w:smallCaps w:val="false"/>
          <w:sz w:val="20"/>
        </w:rPr>
        <w:t xml:space="preserve">June 30, 2025. </w:t>
      </w:r>
      <w:r>
        <w:rPr>
          <w:rFonts w:ascii="Times New Roman" w:hAnsi="Times New Roman"/>
          <w:caps w:val="false"/>
          <w:smallCaps w:val="false"/>
          <w:sz w:val="20"/>
          <w:shd w:fill="FFFFFF" w:val="clear"/>
        </w:rPr>
        <w:t>Cost of sales was slightly higher year-over-year as sales of our product bottles were higher.</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Selling, general and administrative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SG&amp;A expenses were approximately $17.5 million for the three months ended June 30, 2026, compared to approximately $18.0 million for the three months ended June 30, 2025. SG&amp;A expenses for the three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8604" w:type="dxa"/>
        <w:jc w:val="left"/>
        <w:tblInd w:w="0" w:type="dxa"/>
        <w:tblLayout w:type="fixed"/>
        <w:tblCellMar>
          <w:top w:w="0" w:type="dxa"/>
          <w:left w:w="0" w:type="dxa"/>
          <w:bottom w:w="0" w:type="dxa"/>
          <w:right w:w="0" w:type="dxa"/>
        </w:tblCellMar>
      </w:tblPr>
      <w:tblGrid>
        <w:gridCol w:w="3815"/>
        <w:gridCol w:w="60"/>
        <w:gridCol w:w="197"/>
        <w:gridCol w:w="932"/>
        <w:gridCol w:w="94"/>
        <w:gridCol w:w="94"/>
        <w:gridCol w:w="197"/>
        <w:gridCol w:w="932"/>
        <w:gridCol w:w="60"/>
        <w:gridCol w:w="60"/>
        <w:gridCol w:w="198"/>
        <w:gridCol w:w="721"/>
        <w:gridCol w:w="80"/>
        <w:gridCol w:w="60"/>
        <w:gridCol w:w="91"/>
        <w:gridCol w:w="828"/>
        <w:gridCol w:w="185"/>
      </w:tblGrid>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44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Payroll and related costs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8,859</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Provision for credit loss recovery</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0"/>
              <w:ind w:left="0" w:right="0" w:hanging="0"/>
              <w:jc w:val="right"/>
              <w:rPr/>
            </w:pPr>
            <w:r>
              <w:rPr/>
              <w:t>—</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shd w:fill="FFFFFF" w:val="clear"/>
            <w:vAlign w:val="center"/>
          </w:tcPr>
          <w:p>
            <w:pPr>
              <w:pStyle w:val="TableContents"/>
              <w:bidi w:val="0"/>
              <w:spacing w:before="0" w:after="0"/>
              <w:ind w:left="0" w:right="0" w:hanging="0"/>
              <w:jc w:val="left"/>
              <w:rPr/>
            </w:pPr>
            <w:r>
              <w:rPr/>
              <w:t> </w:t>
            </w:r>
          </w:p>
        </w:tc>
        <w:tc>
          <w:tcPr>
            <w:tcW w:w="72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4,864</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meetings</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1,522</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1,357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shd w:fill="FFFFFF" w:val="clear"/>
            <w:vAlign w:val="center"/>
          </w:tcPr>
          <w:p>
            <w:pPr>
              <w:pStyle w:val="TableContents"/>
              <w:bidi w:val="0"/>
              <w:spacing w:before="0" w:after="0"/>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Facilities and equipment costs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310</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8"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1,179</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shd w:fill="FFFFFF" w:val="clear"/>
            <w:vAlign w:val="center"/>
          </w:tcPr>
          <w:p>
            <w:pPr>
              <w:pStyle w:val="TableContents"/>
              <w:bidi w:val="0"/>
              <w:spacing w:before="0" w:after="0"/>
              <w:ind w:left="0" w:right="0" w:hanging="0"/>
              <w:jc w:val="left"/>
              <w:rPr/>
            </w:pPr>
            <w:r>
              <w:rPr/>
              <w:t> </w:t>
            </w:r>
          </w:p>
        </w:tc>
        <w:tc>
          <w:tcPr>
            <w:tcW w:w="7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813</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17,547</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18,047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w:t>
      </w:r>
      <w:r>
        <w:rPr>
          <w:rFonts w:ascii="Times New Roman;Times;serif" w:hAnsi="Times New Roman;Times;serif"/>
          <w:caps w:val="false"/>
          <w:smallCaps w:val="false"/>
          <w:sz w:val="20"/>
          <w:shd w:fill="FFFFFF" w:val="clear"/>
        </w:rPr>
        <w:t>A expenses decreased approximately $0.5 million for the three months ended </w:t>
      </w:r>
      <w:r>
        <w:rPr>
          <w:rFonts w:ascii="Times New Roman;Times;serif" w:hAnsi="Times New Roman;Times;serif"/>
          <w:caps w:val="false"/>
          <w:smallCaps w:val="false"/>
          <w:sz w:val="20"/>
        </w:rPr>
        <w:t>June 30, 2026</w:t>
      </w:r>
      <w:r>
        <w:rPr>
          <w:rFonts w:ascii="Times New Roman;Times;serif" w:hAnsi="Times New Roman;Times;serif"/>
          <w:caps w:val="false"/>
          <w:smallCaps w:val="false"/>
          <w:sz w:val="20"/>
          <w:shd w:fill="FFFFFF" w:val="clear"/>
        </w:rPr>
        <w:t>, compared to the same period in </w:t>
      </w:r>
      <w:r>
        <w:rPr>
          <w:rFonts w:ascii="Times New Roman;Times;serif" w:hAnsi="Times New Roman;Times;serif"/>
          <w:caps w:val="false"/>
          <w:smallCaps w:val="false"/>
          <w:sz w:val="20"/>
        </w:rPr>
        <w:t>2025</w:t>
      </w:r>
      <w:r>
        <w:rPr>
          <w:rFonts w:ascii="Times New Roman;Times;serif" w:hAnsi="Times New Roman;Times;serif"/>
          <w:caps w:val="false"/>
          <w:smallCaps w:val="false"/>
          <w:sz w:val="20"/>
          <w:shd w:fill="FFFFFF" w:val="clear"/>
        </w:rPr>
        <w:t>, primarily attributable to the following:</w:t>
      </w:r>
      <w:r>
        <w:rPr>
          <w:rFonts w:ascii="Times New Roman;Times;serif" w:hAnsi="Times New Roman;Times;serif"/>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 decrease in payroll and related costs of approximately $0.2 million, primarily due to the departure of an executive (and related severance costs), partially offset by higher employee payroll costs and higher sales commissions.</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 decrease in professional fees and expenses of approximately $0.1 million, primarily related to a $0.9 million reversal of a previously recorded legal accrual related to the AstraZeneca litigation, partially offset by an increase of $0.6 million in marketing and market access costs; and</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 decrease in facilities and equipment costs of approximately $0.8 million, related to reduced rent as we amended our Los Angeles office lease with less space and terminated our San Francisco office lease as of March 31, 2026.</w:t>
            </w:r>
          </w:p>
        </w:tc>
      </w:tr>
    </w:tbl>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br/>
        <w:t> Partially offset by:</w:t>
        <w:b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jc w:val="left"/>
              <w:rPr/>
            </w:pPr>
            <w:r>
              <w:rPr/>
              <w:t xml:space="preserve">● </w:t>
            </w:r>
          </w:p>
        </w:tc>
        <w:tc>
          <w:tcPr>
            <w:tcW w:w="99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credit loss recovery related to the collection of accounts receivable in 2025 and no such credit loss recovery took place in 2026;</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an increase in travel and meetings of $0.2 million due to relatively insignificant fluctuations across multiple expense categories; and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975" w:type="dxa"/>
            <w:tcBorders/>
            <w:vAlign w:val="center"/>
          </w:tcPr>
          <w:p>
            <w:pPr>
              <w:pStyle w:val="TableContents"/>
              <w:bidi w:val="0"/>
              <w:spacing w:before="0" w:after="283"/>
              <w:jc w:val="left"/>
              <w:rPr>
                <w:rFonts w:ascii="Times New Roman;Times;serif" w:hAnsi="Times New Roman;Times;serif"/>
                <w:sz w:val="20"/>
                <w:shd w:fill="FFFFFF" w:val="clear"/>
              </w:rPr>
            </w:pPr>
            <w:r>
              <w:rPr>
                <w:rFonts w:ascii="Times New Roman;Times;serif" w:hAnsi="Times New Roman;Times;serif"/>
                <w:sz w:val="20"/>
                <w:shd w:fill="FFFFFF" w:val="clear"/>
              </w:rPr>
              <w:t>an increase in stock-based compensation of approximately $0.2 million, primarily related to our annual employee stock grants, and a higher stock price.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expenses were approxi</w:t>
      </w:r>
      <w:r>
        <w:rPr>
          <w:rFonts w:ascii="Times New Roman" w:hAnsi="Times New Roman"/>
          <w:caps w:val="false"/>
          <w:smallCaps w:val="false"/>
          <w:sz w:val="20"/>
          <w:shd w:fill="FFFFFF" w:val="clear"/>
        </w:rPr>
        <w:t>mately </w:t>
      </w:r>
      <w:r>
        <w:rPr>
          <w:rFonts w:ascii="Times New Roman" w:hAnsi="Times New Roman"/>
          <w:caps w:val="false"/>
          <w:smallCaps w:val="false"/>
          <w:sz w:val="20"/>
        </w:rPr>
        <w:t>$18.9 million </w:t>
      </w:r>
      <w:r>
        <w:rPr>
          <w:rFonts w:ascii="Times New Roman" w:hAnsi="Times New Roman"/>
          <w:caps w:val="false"/>
          <w:smallCaps w:val="false"/>
          <w:sz w:val="20"/>
          <w:shd w:fill="FFFFFF" w:val="clear"/>
        </w:rPr>
        <w:t xml:space="preserve">for the </w:t>
      </w:r>
      <w:r>
        <w:rPr>
          <w:rFonts w:ascii="Times New Roman" w:hAnsi="Times New Roman"/>
          <w:caps w:val="false"/>
          <w:smallCaps w:val="false"/>
          <w:sz w:val="20"/>
        </w:rPr>
        <w:t>three months ended June 30, 2026, compared to approximately $15.5 </w:t>
      </w:r>
      <w:r>
        <w:rPr>
          <w:rFonts w:ascii="Times New Roman" w:hAnsi="Times New Roman"/>
          <w:caps w:val="false"/>
          <w:smallCaps w:val="false"/>
          <w:sz w:val="20"/>
          <w:shd w:fill="FFFFFF" w:val="clear"/>
        </w:rPr>
        <w:t>million for</w:t>
      </w:r>
      <w:r>
        <w:rPr>
          <w:rFonts w:ascii="Times New Roman" w:hAnsi="Times New Roman"/>
          <w:caps w:val="false"/>
          <w:smallCaps w:val="false"/>
          <w:sz w:val="20"/>
        </w:rPr>
        <w:t xml:space="preserve"> the three months ended June 30, 2025. R&amp;D expenses for the three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7834" w:type="dxa"/>
        <w:jc w:val="left"/>
        <w:tblInd w:w="0" w:type="dxa"/>
        <w:tblLayout w:type="fixed"/>
        <w:tblCellMar>
          <w:top w:w="0" w:type="dxa"/>
          <w:left w:w="0" w:type="dxa"/>
          <w:bottom w:w="0" w:type="dxa"/>
          <w:right w:w="0" w:type="dxa"/>
        </w:tblCellMar>
      </w:tblPr>
      <w:tblGrid>
        <w:gridCol w:w="3065"/>
        <w:gridCol w:w="60"/>
        <w:gridCol w:w="197"/>
        <w:gridCol w:w="932"/>
        <w:gridCol w:w="94"/>
        <w:gridCol w:w="94"/>
        <w:gridCol w:w="197"/>
        <w:gridCol w:w="932"/>
        <w:gridCol w:w="60"/>
        <w:gridCol w:w="60"/>
        <w:gridCol w:w="188"/>
        <w:gridCol w:w="731"/>
        <w:gridCol w:w="60"/>
        <w:gridCol w:w="60"/>
        <w:gridCol w:w="110"/>
        <w:gridCol w:w="809"/>
        <w:gridCol w:w="185"/>
      </w:tblGrid>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446"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7,837</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R&amp;D</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9,318</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8,076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80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and contractors</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80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774</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18,895</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15,452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22.3</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w:t>
      </w:r>
      <w:r>
        <w:rPr>
          <w:rFonts w:ascii="Times New Roman" w:hAnsi="Times New Roman"/>
          <w:caps w:val="false"/>
          <w:smallCaps w:val="false"/>
          <w:sz w:val="20"/>
          <w:shd w:fill="FFFFFF" w:val="clear"/>
        </w:rPr>
        <w:t>enses increased by a</w:t>
      </w:r>
      <w:r>
        <w:rPr>
          <w:rFonts w:ascii="Times New Roman" w:hAnsi="Times New Roman"/>
          <w:caps w:val="false"/>
          <w:smallCaps w:val="false"/>
          <w:sz w:val="20"/>
        </w:rPr>
        <w:t>pproxim</w:t>
      </w:r>
      <w:r>
        <w:rPr>
          <w:rFonts w:ascii="Times New Roman" w:hAnsi="Times New Roman"/>
          <w:caps w:val="false"/>
          <w:smallCaps w:val="false"/>
          <w:sz w:val="20"/>
          <w:shd w:fill="FFFFFF" w:val="clear"/>
        </w:rPr>
        <w:t>ately </w:t>
      </w:r>
      <w:r>
        <w:rPr>
          <w:rFonts w:ascii="Times New Roman" w:hAnsi="Times New Roman"/>
          <w:caps w:val="false"/>
          <w:smallCaps w:val="false"/>
          <w:sz w:val="20"/>
        </w:rPr>
        <w:t>$3.4 million </w:t>
      </w:r>
      <w:r>
        <w:rPr>
          <w:rFonts w:ascii="Times New Roman" w:hAnsi="Times New Roman"/>
          <w:caps w:val="false"/>
          <w:smallCaps w:val="false"/>
          <w:sz w:val="20"/>
          <w:shd w:fill="FFFFFF" w:val="clear"/>
        </w:rPr>
        <w:t>for the three m</w:t>
      </w:r>
      <w:r>
        <w:rPr>
          <w:rFonts w:ascii="Times New Roman" w:hAnsi="Times New Roman"/>
          <w:caps w:val="false"/>
          <w:smallCaps w:val="false"/>
          <w:sz w:val="20"/>
        </w:rPr>
        <w:t>onths ended June 30, 2026, compared to the same period in 2025,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845" w:type="dxa"/>
            <w:tcBorders/>
            <w:vAlign w:val="center"/>
          </w:tcPr>
          <w:p>
            <w:pPr>
              <w:pStyle w:val="TableContents"/>
              <w:bidi w:val="0"/>
              <w:spacing w:before="0" w:after="283"/>
              <w:jc w:val="left"/>
              <w:rPr>
                <w:rFonts w:ascii="Times New Roman" w:hAnsi="Times New Roman"/>
                <w:sz w:val="20"/>
                <w:shd w:fill="FFFFFF" w:val="clear"/>
              </w:rPr>
            </w:pPr>
            <w:r>
              <w:rPr>
                <w:rFonts w:ascii="Times New Roman" w:hAnsi="Times New Roman"/>
                <w:sz w:val="20"/>
                <w:shd w:fill="FFFFFF" w:val="clear"/>
              </w:rPr>
              <w:t>an increase in clinical trial expense of approximately $2.2 million, primarily due to increased alisertib study activity;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increase in internal R&amp;D expense of approximately $1.2 million, primarily due to increased employee compensation, including the hiring of a new executive.</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i/>
          <w:sz w:val="20"/>
        </w:rPr>
        <w:t>Other income (expenses):</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6885" w:type="dxa"/>
        <w:jc w:val="left"/>
        <w:tblInd w:w="0" w:type="dxa"/>
        <w:tblLayout w:type="fixed"/>
        <w:tblCellMar>
          <w:top w:w="0" w:type="dxa"/>
          <w:left w:w="0" w:type="dxa"/>
          <w:bottom w:w="0" w:type="dxa"/>
          <w:right w:w="0" w:type="dxa"/>
        </w:tblCellMar>
      </w:tblPr>
      <w:tblGrid>
        <w:gridCol w:w="2075"/>
        <w:gridCol w:w="60"/>
        <w:gridCol w:w="230"/>
        <w:gridCol w:w="727"/>
        <w:gridCol w:w="147"/>
        <w:gridCol w:w="110"/>
        <w:gridCol w:w="230"/>
        <w:gridCol w:w="1003"/>
        <w:gridCol w:w="80"/>
        <w:gridCol w:w="60"/>
        <w:gridCol w:w="188"/>
        <w:gridCol w:w="731"/>
        <w:gridCol w:w="80"/>
        <w:gridCol w:w="60"/>
        <w:gridCol w:w="91"/>
        <w:gridCol w:w="828"/>
        <w:gridCol w:w="185"/>
      </w:tblGrid>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 income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44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44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47"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12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831</w:t>
            </w:r>
          </w:p>
        </w:tc>
        <w:tc>
          <w:tcPr>
            <w:tcW w:w="147"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72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14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-90.2</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147"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-97.8</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660</w:t>
            </w:r>
          </w:p>
        </w:tc>
        <w:tc>
          <w:tcPr>
            <w:tcW w:w="147"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three months ended June 30, 2026, we recognized approximately $0.8 million in interest income, compared to approximately $1.0 million of interest income for the three months ended June 30, 2025. The decrease in interest income was primarily related to a lower cash balance and lower interest rates.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Interest expense: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three months ended June 30, 2026, we recognized approximately $0.2 million in interest expense, compared to approximately $1.8 million of interest expense for the three months ended June 30, 2025. The decrease in interest expense was primarily related to a lower debt balance as we paid down our debt principal in the three months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Other income: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three months ended June 30, 2026, we recognized approximately $0.0 million in other income, compared to approximately $0.4 million of other income for the three months ended June 30, 2025. The decrease in other income was primarily due to the termination of subleases as of March 31, 2026 and unfavorable exchange rates in Euro-denominated transactions. </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bidi w:val="0"/>
        <w:ind w:left="0" w:right="0" w:firstLine="360"/>
        <w:jc w:val="left"/>
        <w:rPr/>
      </w:pPr>
      <w:r>
        <w:rPr/>
      </w:r>
    </w:p>
    <w:p>
      <w:pPr>
        <w:pStyle w:val="TextBody"/>
        <w:bidi w:val="0"/>
        <w:spacing w:before="0" w:after="0"/>
        <w:ind w:left="0" w:right="0" w:firstLine="36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ind w:left="0" w:right="0" w:firstLine="360"/>
        <w:jc w:val="left"/>
        <w:rPr>
          <w:caps w:val="false"/>
          <w:smallCaps w:val="false"/>
        </w:rPr>
      </w:pPr>
      <w:r>
        <w:rPr>
          <w:caps w:val="false"/>
          <w:smallCaps w:val="false"/>
        </w:rPr>
        <w:t xml:space="preserve">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u w:val="single"/>
          <w:shd w:fill="FFFFFF" w:val="clear"/>
        </w:rPr>
        <w:t>Six Months Ended June 30, 2026 Compared to Six Months Ended June 30,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Total revenue: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Total revenue for the six months ended June 30, 2026 was approximately $101.3 million, compared to $98.4 million for the six months ended June 30, 2025. This increase in total revenue was due to an increase in product revenue, net of approximately $3.2 million, partially offset by a $0.4 million decrease in royalty revenue.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Product revenue, net: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Product revenue, net was approximately $95.5 million for the six months ended June 30, 2026, compared to $92.3 million for the six months ended June 30, 2025. This increase in product revenue, net, compared to the six months ended June 30, 2025, was primarily attributable to a 6.3% increase in bottles sold and an increase in selling price, partially offset by a greater deduction to gross revenue for variable consideration, primarily related to higher Medicaid related deductions.</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Royalty revenue: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Royalty revenue was approximately $5.8 million and $6.2 million for the six months ended June 30, 2026 and 2025, respectively. The decrease of $0.4 million was due to lower sales by our international partners.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Cost of sales: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Cost of sales was approximately $22.9 million for each of the six months ended June 30, 2026 and 2025. Cost of sales was relatively consistent with slightly higher year-over-year domestic sales, partially offset by lower sales to our international partners.</w:t>
      </w:r>
      <w:r>
        <w:rPr>
          <w:rFonts w:ascii="Times New Roman" w:hAnsi="Times New Roman"/>
          <w:caps w:val="false"/>
          <w:smallCaps w:val="false"/>
          <w:sz w:val="20"/>
        </w:rPr>
        <w:t xml:space="preserve"> </w:t>
      </w:r>
    </w:p>
    <w:p>
      <w:pPr>
        <w:pStyle w:val="TextBody"/>
        <w:bidi w:val="0"/>
        <w:spacing w:before="0" w:after="0"/>
        <w:ind w:left="0" w:right="0" w:firstLine="8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Selling, general and administrative expenses: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SG&amp;A expenses were approximately $36.0 million for the six months ended June 30, 2026, compared to approximately $35.7 million for the six months ended June 30, 2025. SG&amp;A expenses for the six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8366" w:type="dxa"/>
        <w:jc w:val="left"/>
        <w:tblInd w:w="0" w:type="dxa"/>
        <w:tblLayout w:type="fixed"/>
        <w:tblCellMar>
          <w:top w:w="0" w:type="dxa"/>
          <w:left w:w="0" w:type="dxa"/>
          <w:bottom w:w="0" w:type="dxa"/>
          <w:right w:w="0" w:type="dxa"/>
        </w:tblCellMar>
      </w:tblPr>
      <w:tblGrid>
        <w:gridCol w:w="3815"/>
        <w:gridCol w:w="60"/>
        <w:gridCol w:w="178"/>
        <w:gridCol w:w="841"/>
        <w:gridCol w:w="85"/>
        <w:gridCol w:w="85"/>
        <w:gridCol w:w="178"/>
        <w:gridCol w:w="841"/>
        <w:gridCol w:w="60"/>
        <w:gridCol w:w="60"/>
        <w:gridCol w:w="221"/>
        <w:gridCol w:w="698"/>
        <w:gridCol w:w="80"/>
        <w:gridCol w:w="60"/>
        <w:gridCol w:w="91"/>
        <w:gridCol w:w="828"/>
        <w:gridCol w:w="185"/>
      </w:tblGrid>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Selling, general, and administrative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20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2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Payroll and related costs</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17,971</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 recovery</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9,907</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Travel and meetings</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2,888</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Facilities and equipment costs</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1,405</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2,318</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1,481</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8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35,970</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0.9</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w:t>
      </w:r>
      <w:r>
        <w:rPr>
          <w:rFonts w:ascii="Times New Roman;Times;serif" w:hAnsi="Times New Roman;Times;serif"/>
          <w:caps w:val="false"/>
          <w:smallCaps w:val="false"/>
          <w:sz w:val="20"/>
          <w:shd w:fill="FFFFFF" w:val="clear"/>
        </w:rPr>
        <w:t>A expenses increased by approximately $0.3 million for the </w:t>
      </w:r>
      <w:r>
        <w:rPr>
          <w:rFonts w:ascii="Times New Roman;Times;serif" w:hAnsi="Times New Roman;Times;serif"/>
          <w:caps w:val="false"/>
          <w:smallCaps w:val="false"/>
          <w:sz w:val="20"/>
        </w:rPr>
        <w:t>six months ended June 30, 2026</w:t>
      </w:r>
      <w:r>
        <w:rPr>
          <w:rFonts w:ascii="Times New Roman;Times;serif" w:hAnsi="Times New Roman;Times;serif"/>
          <w:caps w:val="false"/>
          <w:smallCaps w:val="false"/>
          <w:sz w:val="20"/>
          <w:shd w:fill="FFFFFF" w:val="clear"/>
        </w:rPr>
        <w:t>, compared to the same period in </w:t>
      </w:r>
      <w:r>
        <w:rPr>
          <w:rFonts w:ascii="Times New Roman;Times;serif" w:hAnsi="Times New Roman;Times;serif"/>
          <w:caps w:val="false"/>
          <w:smallCaps w:val="false"/>
          <w:sz w:val="20"/>
        </w:rPr>
        <w:t>2025</w:t>
      </w:r>
      <w:r>
        <w:rPr>
          <w:rFonts w:ascii="Times New Roman;Times;serif" w:hAnsi="Times New Roman;Times;serif"/>
          <w:caps w:val="false"/>
          <w:smallCaps w:val="false"/>
          <w:sz w:val="20"/>
          <w:shd w:fill="FFFFFF" w:val="clear"/>
        </w:rPr>
        <w:t>, primarily attributable to the following:</w:t>
      </w:r>
      <w:r>
        <w:rPr>
          <w:rFonts w:ascii="Times New Roman;Times;serif" w:hAnsi="Times New Roman;Times;serif"/>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60"/>
        <w:gridCol w:w="170"/>
        <w:gridCol w:w="918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increase in payroll and related cost</w:t>
            </w:r>
            <w:r>
              <w:rPr>
                <w:rFonts w:ascii="Times New Roman;Times;serif" w:hAnsi="Times New Roman;Times;serif"/>
                <w:sz w:val="20"/>
                <w:shd w:fill="FFFFFF" w:val="clear"/>
              </w:rPr>
              <w:t>s of $0.7 million due primarily to increases in employee compensation; and</w:t>
            </w:r>
          </w:p>
        </w:tc>
      </w:tr>
    </w:tbl>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6"/>
        <w:gridCol w:w="9788"/>
      </w:tblGrid>
      <w:tr>
        <w:trPr/>
        <w:tc>
          <w:tcPr>
            <w:tcW w:w="161"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shd w:fill="FFFFFF" w:val="clear"/>
              </w:rPr>
            </w:pPr>
            <w:r>
              <w:rPr>
                <w:shd w:fill="FFFFFF" w:val="clear"/>
              </w:rPr>
              <w:t>●</w:t>
            </w:r>
          </w:p>
        </w:tc>
        <w:tc>
          <w:tcPr>
            <w:tcW w:w="9788" w:type="dxa"/>
            <w:tcBorders/>
            <w:vAlign w:val="center"/>
          </w:tcPr>
          <w:p>
            <w:pPr>
              <w:pStyle w:val="TableContents"/>
              <w:bidi w:val="0"/>
              <w:spacing w:before="0" w:after="0"/>
              <w:ind w:left="0" w:right="0" w:hanging="0"/>
              <w:jc w:val="left"/>
              <w:rPr>
                <w:rFonts w:ascii="Times New Roman" w:hAnsi="Times New Roman"/>
                <w:sz w:val="20"/>
                <w:shd w:fill="FFFFFF" w:val="clear"/>
              </w:rPr>
            </w:pPr>
            <w:r>
              <w:rPr>
                <w:rFonts w:ascii="Times New Roman" w:hAnsi="Times New Roman"/>
                <w:sz w:val="20"/>
                <w:shd w:fill="FFFFFF" w:val="clear"/>
              </w:rPr>
              <w:t>an increase in professional fees and expenses of approximately $0.3 million, primarily related to an increase of $1.3 million to marketing and market access costs, partially offset by a $0.9 million reversal of a previously recorded legal accrual related to the AstraZeneca litigation.</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Partially offset by:</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 </w:t>
            </w:r>
            <w:r>
              <w:rPr>
                <w:rFonts w:ascii="Times New Roman;Times;serif" w:hAnsi="Times New Roman;Times;serif"/>
                <w:sz w:val="20"/>
                <w:shd w:fill="FFFFFF" w:val="clear"/>
              </w:rPr>
              <w:t>decrease in facilities and equipment costs of approximately $0.9 million, related to reduced rent as we amended our Los Angeles office lease with less space and terminated our San Francisco office lease as of March 31, 2026.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i/>
          <w:sz w:val="20"/>
        </w:rPr>
        <w:t>Research and development expenses:</w:t>
      </w:r>
      <w:r>
        <w:rPr>
          <w:rFonts w:ascii="Times New Roman;Times;serif" w:hAnsi="Times New Roman;Times;serif"/>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expenses were approxi</w:t>
      </w:r>
      <w:r>
        <w:rPr>
          <w:rFonts w:ascii="Times New Roman" w:hAnsi="Times New Roman"/>
          <w:caps w:val="false"/>
          <w:smallCaps w:val="false"/>
          <w:sz w:val="20"/>
          <w:shd w:fill="FFFFFF" w:val="clear"/>
        </w:rPr>
        <w:t>mately $38.7</w:t>
      </w:r>
      <w:r>
        <w:rPr>
          <w:rFonts w:ascii="Times New Roman" w:hAnsi="Times New Roman"/>
          <w:caps w:val="false"/>
          <w:smallCaps w:val="false"/>
          <w:sz w:val="20"/>
        </w:rPr>
        <w:t xml:space="preserve"> million </w:t>
      </w:r>
      <w:r>
        <w:rPr>
          <w:rFonts w:ascii="Times New Roman" w:hAnsi="Times New Roman"/>
          <w:caps w:val="false"/>
          <w:smallCaps w:val="false"/>
          <w:sz w:val="20"/>
          <w:shd w:fill="FFFFFF" w:val="clear"/>
        </w:rPr>
        <w:t>for the </w:t>
      </w:r>
      <w:r>
        <w:rPr>
          <w:rFonts w:ascii="Times New Roman" w:hAnsi="Times New Roman"/>
          <w:caps w:val="false"/>
          <w:smallCaps w:val="false"/>
          <w:sz w:val="20"/>
        </w:rPr>
        <w:t>six months ended June 30, 2026, compared to approximately $29.3 </w:t>
      </w:r>
      <w:r>
        <w:rPr>
          <w:rFonts w:ascii="Times New Roman" w:hAnsi="Times New Roman"/>
          <w:caps w:val="false"/>
          <w:smallCaps w:val="false"/>
          <w:sz w:val="20"/>
          <w:shd w:fill="FFFFFF" w:val="clear"/>
        </w:rPr>
        <w:t>million for</w:t>
      </w:r>
      <w:r>
        <w:rPr>
          <w:rFonts w:ascii="Times New Roman" w:hAnsi="Times New Roman"/>
          <w:caps w:val="false"/>
          <w:smallCaps w:val="false"/>
          <w:sz w:val="20"/>
        </w:rPr>
        <w:t xml:space="preserve"> the six months ended June 30, 2025. R&amp;D expenses for the six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7596" w:type="dxa"/>
        <w:jc w:val="left"/>
        <w:tblInd w:w="0" w:type="dxa"/>
        <w:tblLayout w:type="fixed"/>
        <w:tblCellMar>
          <w:top w:w="0" w:type="dxa"/>
          <w:left w:w="0" w:type="dxa"/>
          <w:bottom w:w="0" w:type="dxa"/>
          <w:right w:w="0" w:type="dxa"/>
        </w:tblCellMar>
      </w:tblPr>
      <w:tblGrid>
        <w:gridCol w:w="3065"/>
        <w:gridCol w:w="60"/>
        <w:gridCol w:w="178"/>
        <w:gridCol w:w="841"/>
        <w:gridCol w:w="85"/>
        <w:gridCol w:w="85"/>
        <w:gridCol w:w="178"/>
        <w:gridCol w:w="841"/>
        <w:gridCol w:w="60"/>
        <w:gridCol w:w="60"/>
        <w:gridCol w:w="188"/>
        <w:gridCol w:w="731"/>
        <w:gridCol w:w="60"/>
        <w:gridCol w:w="60"/>
        <w:gridCol w:w="125"/>
        <w:gridCol w:w="794"/>
        <w:gridCol w:w="185"/>
      </w:tblGrid>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208"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2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0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0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16,666</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79.6</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Internal R&amp;D</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18,601</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Consultant and contractors</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1,892</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w:t>
            </w:r>
          </w:p>
        </w:tc>
        <w:tc>
          <w:tcPr>
            <w:tcW w:w="85"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38,690</w:t>
            </w:r>
          </w:p>
        </w:tc>
        <w:tc>
          <w:tcPr>
            <w:tcW w:w="85"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32.0</w:t>
            </w:r>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R&amp;D exp</w:t>
      </w:r>
      <w:r>
        <w:rPr>
          <w:rFonts w:ascii="Times New Roman" w:hAnsi="Times New Roman"/>
          <w:caps w:val="false"/>
          <w:smallCaps w:val="false"/>
          <w:sz w:val="20"/>
          <w:shd w:fill="FFFFFF" w:val="clear"/>
        </w:rPr>
        <w:t>enses increased by a</w:t>
      </w:r>
      <w:r>
        <w:rPr>
          <w:rFonts w:ascii="Times New Roman" w:hAnsi="Times New Roman"/>
          <w:caps w:val="false"/>
          <w:smallCaps w:val="false"/>
          <w:sz w:val="20"/>
        </w:rPr>
        <w:t>pproxim</w:t>
      </w:r>
      <w:r>
        <w:rPr>
          <w:rFonts w:ascii="Times New Roman" w:hAnsi="Times New Roman"/>
          <w:caps w:val="false"/>
          <w:smallCaps w:val="false"/>
          <w:sz w:val="20"/>
          <w:shd w:fill="FFFFFF" w:val="clear"/>
        </w:rPr>
        <w:t>ately </w:t>
      </w:r>
      <w:r>
        <w:rPr>
          <w:rFonts w:ascii="Times New Roman" w:hAnsi="Times New Roman"/>
          <w:caps w:val="false"/>
          <w:smallCaps w:val="false"/>
          <w:sz w:val="20"/>
        </w:rPr>
        <w:t xml:space="preserve">$9.4 million </w:t>
      </w:r>
      <w:r>
        <w:rPr>
          <w:rFonts w:ascii="Times New Roman" w:hAnsi="Times New Roman"/>
          <w:caps w:val="false"/>
          <w:smallCaps w:val="false"/>
          <w:sz w:val="20"/>
          <w:shd w:fill="FFFFFF" w:val="clear"/>
        </w:rPr>
        <w:t>for the </w:t>
      </w:r>
      <w:r>
        <w:rPr>
          <w:rFonts w:ascii="Times New Roman" w:hAnsi="Times New Roman"/>
          <w:caps w:val="false"/>
          <w:smallCaps w:val="false"/>
          <w:sz w:val="20"/>
        </w:rPr>
        <w:t>six months ended June 30, 2026, compared to the same period in 2025, primarily attributable to the following:</w:t>
      </w:r>
    </w:p>
    <w:p>
      <w:pPr>
        <w:pStyle w:val="TextBody"/>
        <w:bidi w:val="0"/>
        <w:spacing w:before="0" w:after="0"/>
        <w:ind w:left="0" w:right="0" w:firstLine="540"/>
        <w:jc w:val="left"/>
        <w:rPr>
          <w:caps w:val="false"/>
          <w:smallCaps w:val="false"/>
        </w:rPr>
      </w:pPr>
      <w:r>
        <w:rPr>
          <w:caps w:val="false"/>
          <w:smallCaps w:val="false"/>
        </w:rPr>
        <w:t> </w:t>
      </w:r>
    </w:p>
    <w:tbl>
      <w:tblPr>
        <w:tblW w:w="9730" w:type="dxa"/>
        <w:jc w:val="left"/>
        <w:tblInd w:w="0" w:type="dxa"/>
        <w:tblLayout w:type="fixed"/>
        <w:tblCellMar>
          <w:top w:w="0" w:type="dxa"/>
          <w:left w:w="0" w:type="dxa"/>
          <w:bottom w:w="0" w:type="dxa"/>
          <w:right w:w="0" w:type="dxa"/>
        </w:tblCellMar>
      </w:tblPr>
      <w:tblGrid>
        <w:gridCol w:w="60"/>
        <w:gridCol w:w="170"/>
        <w:gridCol w:w="950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283"/>
              <w:jc w:val="left"/>
              <w:rPr>
                <w:shd w:fill="FFFFFF" w:val="clear"/>
              </w:rPr>
            </w:pPr>
            <w:r>
              <w:rPr>
                <w:shd w:fill="FFFFFF" w:val="clear"/>
              </w:rPr>
              <w:t>●</w:t>
            </w:r>
          </w:p>
        </w:tc>
        <w:tc>
          <w:tcPr>
            <w:tcW w:w="9500" w:type="dxa"/>
            <w:tcBorders/>
            <w:vAlign w:val="center"/>
          </w:tcPr>
          <w:p>
            <w:pPr>
              <w:pStyle w:val="TableContents"/>
              <w:bidi w:val="0"/>
              <w:spacing w:before="0" w:after="283"/>
              <w:jc w:val="left"/>
              <w:rPr>
                <w:rFonts w:ascii="Times New Roman" w:hAnsi="Times New Roman"/>
                <w:sz w:val="20"/>
                <w:shd w:fill="FFFFFF" w:val="clear"/>
              </w:rPr>
            </w:pPr>
            <w:r>
              <w:rPr>
                <w:rFonts w:ascii="Times New Roman" w:hAnsi="Times New Roman"/>
                <w:sz w:val="20"/>
                <w:shd w:fill="FFFFFF" w:val="clear"/>
              </w:rPr>
              <w:t>an increase in clinical trial expense of approximately $7.4 million, primarily due to increased alisertib study activity;</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increase in internal R&amp;D expense of approximately $2.0 million, primarily due to increased employee compensation including the hiring of a new executive;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pPr>
            <w:r>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an increase in stock-based compensation of approximately $0.1 million, primarily due to the hiring of a new executive, our annual employee stock grants and a higher stock price.</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i/>
          <w:sz w:val="20"/>
        </w:rPr>
        <w:t>Other income (expenses):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6645" w:type="dxa"/>
        <w:jc w:val="left"/>
        <w:tblInd w:w="0" w:type="dxa"/>
        <w:tblLayout w:type="fixed"/>
        <w:tblCellMar>
          <w:top w:w="0" w:type="dxa"/>
          <w:left w:w="0" w:type="dxa"/>
          <w:bottom w:w="0" w:type="dxa"/>
          <w:right w:w="0" w:type="dxa"/>
        </w:tblCellMar>
      </w:tblPr>
      <w:tblGrid>
        <w:gridCol w:w="2075"/>
        <w:gridCol w:w="60"/>
        <w:gridCol w:w="194"/>
        <w:gridCol w:w="754"/>
        <w:gridCol w:w="124"/>
        <w:gridCol w:w="93"/>
        <w:gridCol w:w="194"/>
        <w:gridCol w:w="848"/>
        <w:gridCol w:w="80"/>
        <w:gridCol w:w="60"/>
        <w:gridCol w:w="188"/>
        <w:gridCol w:w="731"/>
        <w:gridCol w:w="80"/>
        <w:gridCol w:w="60"/>
        <w:gridCol w:w="91"/>
        <w:gridCol w:w="828"/>
        <w:gridCol w:w="185"/>
      </w:tblGrid>
      <w:tr>
        <w:trPr/>
        <w:tc>
          <w:tcPr>
            <w:tcW w:w="207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Other income (expenses)</w:t>
            </w:r>
          </w:p>
        </w:tc>
        <w:tc>
          <w:tcPr>
            <w:tcW w:w="60" w:type="dxa"/>
            <w:tcBorders/>
            <w:shd w:fill="FFFFFF" w:val="clear"/>
            <w:vAlign w:val="center"/>
          </w:tcPr>
          <w:p>
            <w:pPr>
              <w:pStyle w:val="TableContents"/>
              <w:bidi w:val="0"/>
              <w:spacing w:before="0" w:after="0"/>
              <w:ind w:left="0" w:right="0" w:hanging="0"/>
              <w:jc w:val="left"/>
              <w:rPr/>
            </w:pPr>
            <w:r>
              <w:rPr/>
              <w:t> </w:t>
            </w:r>
          </w:p>
        </w:tc>
        <w:tc>
          <w:tcPr>
            <w:tcW w:w="220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2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24"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1,833</w:t>
            </w:r>
          </w:p>
        </w:tc>
        <w:tc>
          <w:tcPr>
            <w:tcW w:w="124"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7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(911</w:t>
            </w:r>
          </w:p>
        </w:tc>
        <w:tc>
          <w:tcPr>
            <w:tcW w:w="12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8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shd w:fill="FFFFFF" w:val="clear"/>
            <w:vAlign w:val="center"/>
          </w:tcPr>
          <w:p>
            <w:pPr>
              <w:pStyle w:val="TableContents"/>
              <w:bidi w:val="0"/>
              <w:spacing w:before="0" w:after="0"/>
              <w:ind w:left="0" w:right="0" w:hanging="0"/>
              <w:jc w:val="left"/>
              <w:rPr/>
            </w:pPr>
            <w:r>
              <w:rPr/>
              <w:t> </w:t>
            </w:r>
          </w:p>
        </w:tc>
        <w:tc>
          <w:tcPr>
            <w:tcW w:w="8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07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income (expense)</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w:t>
            </w:r>
          </w:p>
        </w:tc>
        <w:tc>
          <w:tcPr>
            <w:tcW w:w="124" w:type="dxa"/>
            <w:tcBorders/>
            <w:shd w:fill="CCEEFF" w:val="clear"/>
            <w:vAlign w:val="center"/>
          </w:tcPr>
          <w:p>
            <w:pPr>
              <w:pStyle w:val="TableContents"/>
              <w:bidi w:val="0"/>
              <w:spacing w:before="0" w:after="0"/>
              <w:ind w:left="0" w:right="0" w:hanging="0"/>
              <w:jc w:val="left"/>
              <w:rPr/>
            </w:pPr>
            <w:r>
              <w:rPr/>
              <w:t> </w:t>
            </w:r>
          </w:p>
        </w:tc>
        <w:tc>
          <w:tcPr>
            <w:tcW w:w="93"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9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1,061</w:t>
            </w:r>
          </w:p>
        </w:tc>
        <w:tc>
          <w:tcPr>
            <w:tcW w:w="124" w:type="dxa"/>
            <w:tcBorders/>
            <w:shd w:fill="FFFFFF" w:val="clear"/>
            <w:vAlign w:val="center"/>
          </w:tcPr>
          <w:p>
            <w:pPr>
              <w:pStyle w:val="TableContents"/>
              <w:bidi w:val="0"/>
              <w:spacing w:before="0" w:after="0"/>
              <w:ind w:left="0" w:right="0" w:hanging="0"/>
              <w:jc w:val="left"/>
              <w:rPr/>
            </w:pPr>
            <w:r>
              <w:rPr/>
              <w:t> </w:t>
            </w:r>
          </w:p>
        </w:tc>
        <w:tc>
          <w:tcPr>
            <w:tcW w:w="93" w:type="dxa"/>
            <w:tcBorders/>
            <w:shd w:fill="FFFF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income: </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six months ended June 30, 2026, we recognized approximately $1.8 million in interest income, compared to approximately $2.1 million of interest income for the six months ended June 30, 2025. The decrease in interest income was primarily related to lower cash balances and lower interest rates.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Interest expense:</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six months ended June 30, 2026, we recognized approximately $0.9 million in interest expense, compared to approximately $4.0 million of interest expense for the six months ended June 30, 2025. The decrease in interest expense was primarily related to a lower debt balance as we paid down our debt principal in the three months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Other income:</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firstLine="540"/>
        <w:jc w:val="left"/>
        <w:rPr/>
      </w:pPr>
      <w:r>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shd w:fill="FFFFFF" w:val="clear"/>
        </w:rPr>
        <w:t>For the six months ended June 30, 2026, we recognized approximately $0.1 million in other income, compared to approximately $0.8 million of other income for the six months ended June 30, 2025. The decrease in other income was primarily due to the termination of subleases as of March 31, 2026 and unfavorable exchange rates in Euro-denominated transactions.</w:t>
      </w:r>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bidi w:val="0"/>
        <w:ind w:left="0" w:right="0" w:firstLine="360"/>
        <w:jc w:val="left"/>
        <w:rPr/>
      </w:pPr>
      <w:r>
        <w:rPr/>
      </w:r>
    </w:p>
    <w:p>
      <w:pPr>
        <w:pStyle w:val="TextBody"/>
        <w:bidi w:val="0"/>
        <w:spacing w:before="0" w:after="0"/>
        <w:ind w:left="0" w:right="0" w:firstLine="36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Liquidity and 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table, which summarizes our liquidity and capital resources as of June 30, 2026 and December 31, 2025 and for the six months ended June 30, 2026 and 2025, is intended to supplement the more detailed discussion that follows:</w:t>
      </w:r>
    </w:p>
    <w:p>
      <w:pPr>
        <w:pStyle w:val="TextBody"/>
        <w:bidi w:val="0"/>
        <w:spacing w:before="0" w:after="0"/>
        <w:ind w:left="0" w:right="0" w:hanging="0"/>
        <w:jc w:val="left"/>
        <w:rPr>
          <w:caps w:val="false"/>
          <w:smallCaps w:val="false"/>
        </w:rPr>
      </w:pPr>
      <w:r>
        <w:rPr>
          <w:caps w:val="false"/>
          <w:smallCaps w:val="false"/>
        </w:rPr>
        <w:t> </w:t>
      </w:r>
    </w:p>
    <w:tbl>
      <w:tblPr>
        <w:tblW w:w="6943" w:type="dxa"/>
        <w:jc w:val="left"/>
        <w:tblInd w:w="0" w:type="dxa"/>
        <w:tblLayout w:type="fixed"/>
        <w:tblCellMar>
          <w:top w:w="0" w:type="dxa"/>
          <w:left w:w="0" w:type="dxa"/>
          <w:bottom w:w="0" w:type="dxa"/>
          <w:right w:w="0" w:type="dxa"/>
        </w:tblCellMar>
      </w:tblPr>
      <w:tblGrid>
        <w:gridCol w:w="3875"/>
        <w:gridCol w:w="60"/>
        <w:gridCol w:w="181"/>
        <w:gridCol w:w="1008"/>
        <w:gridCol w:w="60"/>
        <w:gridCol w:w="60"/>
        <w:gridCol w:w="249"/>
        <w:gridCol w:w="1390"/>
        <w:gridCol w:w="60"/>
      </w:tblGrid>
      <w:tr>
        <w:trPr/>
        <w:tc>
          <w:tcPr>
            <w:tcW w:w="38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9"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of</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29,635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Marketable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57,366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67,893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Working capital</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95,247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81,433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87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Current portion of long-term debt</w:t>
            </w:r>
          </w:p>
        </w:tc>
        <w:tc>
          <w:tcPr>
            <w:tcW w:w="60"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22,523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138,544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130,340</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8890" w:type="dxa"/>
        <w:jc w:val="left"/>
        <w:tblInd w:w="0" w:type="dxa"/>
        <w:tblLayout w:type="fixed"/>
        <w:tblCellMar>
          <w:top w:w="0" w:type="dxa"/>
          <w:left w:w="0" w:type="dxa"/>
          <w:bottom w:w="0" w:type="dxa"/>
          <w:right w:w="0" w:type="dxa"/>
        </w:tblCellMar>
      </w:tblPr>
      <w:tblGrid>
        <w:gridCol w:w="5510"/>
        <w:gridCol w:w="60"/>
        <w:gridCol w:w="250"/>
        <w:gridCol w:w="1300"/>
        <w:gridCol w:w="80"/>
        <w:gridCol w:w="60"/>
        <w:gridCol w:w="250"/>
        <w:gridCol w:w="1300"/>
        <w:gridCol w:w="80"/>
      </w:tblGrid>
      <w:tr>
        <w:trPr/>
        <w:tc>
          <w:tcPr>
            <w:tcW w:w="5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0" w:type="dxa"/>
            <w:gridSpan w:val="2"/>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provided by (used in):</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 </w:t>
            </w:r>
          </w:p>
        </w:tc>
        <w:tc>
          <w:tcPr>
            <w:tcW w:w="130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 </w:t>
            </w:r>
          </w:p>
        </w:tc>
        <w:tc>
          <w:tcPr>
            <w:tcW w:w="130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17,694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551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10,446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shd w:fill="CCEEFF" w:val="clear"/>
            <w:vAlign w:val="center"/>
          </w:tcPr>
          <w:p>
            <w:pPr>
              <w:pStyle w:val="TableContents"/>
              <w:bidi w:val="0"/>
              <w:spacing w:before="0" w:after="0"/>
              <w:ind w:left="0" w:right="0" w:hanging="0"/>
              <w:jc w:val="left"/>
              <w:rPr/>
            </w:pPr>
            <w:r>
              <w:rPr/>
              <w:t> </w:t>
            </w:r>
          </w:p>
        </w:tc>
        <w:tc>
          <w:tcPr>
            <w:tcW w:w="130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(9,717)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551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(22,675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increase (decrease) in cash, cash equivalents, and restricted cash</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3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(14,557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 w:hAnsi="Times New Roman"/>
          <w:i/>
          <w:sz w:val="20"/>
          <w:shd w:fill="FFFFFF" w:val="clear"/>
        </w:rPr>
        <w:t>Operating Activities:</w:t>
      </w:r>
      <w:r>
        <w:rPr>
          <w:rFonts w:ascii="Times New Roman;Times;serif" w:hAnsi="Times New Roman;Times;serif"/>
          <w:sz w:val="20"/>
          <w:shd w:fill="FFFFFF" w:val="clear"/>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provided by operating activities for the six months ended June 30, 2026 was $17.0 million and consisted of net income of approximately $4.4 million, adjusted for non-cash items of approximately $8.9 million, which included stock-based compensation of $3.8 million and depreciation and amortization of $5.1 million. Total changes in cash flows from operations were due to an increase in working capital, primarily related to a decrease in accounts receivable of $19.6 million, primarily due to royalty receipts related to China sales, partially offset by an increase in inventory of $7.8 million related to the purchase of raw material inventory, a decrease in accrued expenses and other of approximately $5.0 million related primarily to the payment of royalties and a $0.9 million reversal of a previously recorded legal accrual, a decrease in accounts payable of $2.0 million and a decrease of post-marketing commitment liability of $1.0 million.</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provided by operating activities for the six months ended June 30, 2025 was $17.7 million and consisted of net income of approximately $8.8 million, adjusted for non-cash items of approximately $9.1 million, which included stock-based compensation of $3.7 million, depreciation and amortization of $5.6 million and provision for credit loss recovery of $0.1 million. Total changes in cash flows from operations were due to a slight decrease in working capital, primarily related to a decrease in accrued expenses and other of approximately $5.0 million, a decrease in operating lease assets and liabilities, net, of $0.9 million and a decrease of post-marketing commitment liability of $1.1 million, partially offset by a decrease in prepaid and other expenses of $0.5 million, a decrease in accounts receivable of approximately $6.3 million and a decrease in inventory of $0.1 million.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Investing Activities: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provided by investing activities for the six months ended June 30, 2026 was approximately $10.4 million, compared to net cash used in investing activities of approximately $9.7 million for the same period in 2025. Cash provided by investing activities for the six months ended June 30, 2026 was primarily due to the maturity of available-for-sale securities of approximately $56.9 million, partially offset by the purchase of available-for-sale securities of approximately $46.4 million.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Financing Activities: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used in financing activities for the six months ended June 30, 2026 was approximately $22.6 million, including $22.2 million related to the payment of principal and $0.4 million related to exit fees, on our debt with Athyrium. Our Athyrium Note was paid in full as of June 30, 2026.</w:t>
      </w:r>
      <w:r>
        <w:rPr>
          <w:rFonts w:ascii="Times New Roman" w:hAnsi="Times New Roman"/>
          <w:caps w:val="false"/>
          <w:smallCaps w:val="false"/>
          <w:sz w:val="20"/>
        </w:rPr>
        <w:t xml:space="preserve">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Cash used in financing activities for the six months ended June 30, 2025 was approximately $22.5 million, including $22.2 million related to the payment of principal and $0.4 million related to exit fees, on our debt with Athyrium, partially offset by $0.1 million in proceeds from shares issued under employee stock plans.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i/>
          <w:caps w:val="false"/>
          <w:smallCaps w:val="false"/>
          <w:sz w:val="20"/>
          <w:shd w:fill="FFFFFF" w:val="clear"/>
        </w:rPr>
        <w:t>Current and Future Financing Needs: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We have spent, and expect to continue to spend, substantial amounts in connection with implementing our business strategy, including our planned product development efforts, our clinical trials, our R&amp;D efforts, and our commercialization efforts.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We may choose to begin new R&amp;D efforts, or we may choose to launch additional marketing efforts. For example, we in-licensed alisertib from Takeda in 2022 and assumed sole responsibility for its global development and commercialization. These efforts will require funding in addition to the cash and cash equivalents totaling approximately $36.5 million and approximately $57.4 million in marketable securities available at June 30, 2026. While our condensed consolidated financial statements have been prepared on a going concern basis, we may incur significant losses in the future and will need to generate significant revenue to sustain operations and successfully commercialize neratinib and develop alisertib. While we have been successful in raising financing in the past, there can be no assurance that we will be able to do so in the future. Our ability to obtain funding may be adversely impacted by uncertain market conditions, our success in commercializing neratinib, our success in developing alisertib, unfavorable decisions of regulatory authorities or adverse clinical trial results. The outcome of these matters cannot be predicted at this time. We believe that our existing cash and cash equivalents and marketable securities as of June 30, 2026, and proceeds that will become available to us through product sales and sub-license payments are sufficient to satisfy our operating cash and capital needs for at least one year after the filing of this Quarterly Report.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Non-GAAP Financial Measures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In addition to our operating results, as calculated in accordance with Generally Accepted Accounting Principles (“GAAP”) we use certain non-GAAP financial measures when planning, monitoring, and evaluating our operational performance. The following table presents our net income and net income per share, as calculated in accordance with GAAP, as adjusted to remove the impact of stock-based compensation. For the three months ended June 30, 2026, stock-based compensation represented approximately 5.4% of our operating expenses, compared to approximately 4.9% for the same period in 2025, in each case excluding cost of sales. For the six months ended June 30, 2026, stock-based compensation represented approximately 5.2% of our operating expenses, compared to approximately 5.6% for the same period in 2025, in each case excluding cost of sales. Our management believes that these non-GAAP financial measures are useful to enhance understanding of our financial performance, are more indicative of our operational performance and facilitate a better comparison among fiscal periods. These non-GAAP financial measures are not, and should not be viewed as, substitutes for GAAP reporting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Reconciliation of GAAP Net Income to Non-GAAP Adjusted Net Income and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GAAP Net Income Per Share to Non-GAAP Adjusted Net Income Per Share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(in thousands except share and per share data)</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677"/>
        <w:gridCol w:w="60"/>
        <w:gridCol w:w="222"/>
        <w:gridCol w:w="1054"/>
        <w:gridCol w:w="106"/>
        <w:gridCol w:w="430"/>
        <w:gridCol w:w="106"/>
        <w:gridCol w:w="222"/>
        <w:gridCol w:w="866"/>
        <w:gridCol w:w="60"/>
        <w:gridCol w:w="237"/>
        <w:gridCol w:w="60"/>
        <w:gridCol w:w="207"/>
        <w:gridCol w:w="806"/>
        <w:gridCol w:w="99"/>
        <w:gridCol w:w="400"/>
        <w:gridCol w:w="99"/>
        <w:gridCol w:w="207"/>
        <w:gridCol w:w="980"/>
        <w:gridCol w:w="60"/>
        <w:gridCol w:w="247"/>
      </w:tblGrid>
      <w:tr>
        <w:trPr/>
        <w:tc>
          <w:tcPr>
            <w:tcW w:w="367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06"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98" w:type="dxa"/>
            <w:gridSpan w:val="7"/>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10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11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GAAP 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8,189</w:t>
            </w:r>
          </w:p>
        </w:tc>
        <w:tc>
          <w:tcPr>
            <w:tcW w:w="106"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5,855</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4,436</w:t>
            </w:r>
          </w:p>
        </w:tc>
        <w:tc>
          <w:tcPr>
            <w:tcW w:w="99"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8,829</w:t>
            </w:r>
          </w:p>
        </w:tc>
        <w:tc>
          <w:tcPr>
            <w:tcW w:w="60"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Adjustments:</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w:t>
            </w:r>
          </w:p>
        </w:tc>
        <w:tc>
          <w:tcPr>
            <w:tcW w:w="43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86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w:t>
            </w:r>
          </w:p>
        </w:tc>
        <w:tc>
          <w:tcPr>
            <w:tcW w:w="40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Stock-based compensation -</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Selling, general and administrative (1)</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10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1,179</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0"/>
              <w:ind w:left="0" w:right="0" w:hanging="0"/>
              <w:jc w:val="left"/>
              <w:rPr/>
            </w:pPr>
            <w:r>
              <w:rPr/>
              <w:t> </w:t>
            </w:r>
          </w:p>
        </w:tc>
        <w:tc>
          <w:tcPr>
            <w:tcW w:w="8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992</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2,318</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0"/>
              <w:ind w:left="0" w:right="0" w:hanging="0"/>
              <w:jc w:val="left"/>
              <w:rPr/>
            </w:pPr>
            <w:r>
              <w:rPr/>
              <w:t> </w:t>
            </w:r>
          </w:p>
        </w:tc>
        <w:tc>
          <w:tcPr>
            <w:tcW w:w="9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2,227</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Research and development (2)</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774</w:t>
            </w:r>
          </w:p>
        </w:tc>
        <w:tc>
          <w:tcPr>
            <w:tcW w:w="106"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636</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1,531</w:t>
            </w:r>
          </w:p>
        </w:tc>
        <w:tc>
          <w:tcPr>
            <w:tcW w:w="99"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1,427</w:t>
            </w:r>
          </w:p>
        </w:tc>
        <w:tc>
          <w:tcPr>
            <w:tcW w:w="60"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Non-GAAP adjusted 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10,142</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7,483</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8,285</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12,483</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GAAP net income per share—basic</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0.12</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0.09</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 to net income (as detailed above)</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0.04</w:t>
            </w:r>
          </w:p>
        </w:tc>
        <w:tc>
          <w:tcPr>
            <w:tcW w:w="106"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0.07</w:t>
            </w:r>
          </w:p>
        </w:tc>
        <w:tc>
          <w:tcPr>
            <w:tcW w:w="99"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0.07</w:t>
            </w:r>
          </w:p>
        </w:tc>
        <w:tc>
          <w:tcPr>
            <w:tcW w:w="60"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Non-GAAP adjusted basic net income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0.20</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0.15</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0.25</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r>
      <w:tr>
        <w:trPr/>
        <w:tc>
          <w:tcPr>
            <w:tcW w:w="367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1054"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806"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shd w:fill="CCEEFF" w:val="clear"/>
            <w:vAlign w:val="center"/>
          </w:tcPr>
          <w:p>
            <w:pPr>
              <w:pStyle w:val="TableContents"/>
              <w:bidi w:val="0"/>
              <w:spacing w:before="0" w:after="0"/>
              <w:ind w:left="0" w:right="0" w:hanging="0"/>
              <w:jc w:val="left"/>
              <w:rPr/>
            </w:pPr>
            <w:r>
              <w:rPr/>
              <w:t> </w:t>
            </w:r>
          </w:p>
        </w:tc>
        <w:tc>
          <w:tcPr>
            <w:tcW w:w="9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GAAP net income per share—diluted</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pPr>
            <w:r>
              <w:rPr/>
              <w:t> </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0.12</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0.18</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pPr>
            <w:r>
              <w:rPr/>
              <w:t> </w:t>
            </w:r>
          </w:p>
        </w:tc>
      </w:tr>
      <w:tr>
        <w:trPr/>
        <w:tc>
          <w:tcPr>
            <w:tcW w:w="367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 to net income (as detailed above)</w:t>
            </w:r>
          </w:p>
        </w:tc>
        <w:tc>
          <w:tcPr>
            <w:tcW w:w="60"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p>
        </w:tc>
        <w:tc>
          <w:tcPr>
            <w:tcW w:w="106" w:type="dxa"/>
            <w:tcBorders/>
            <w:shd w:fill="CCEEFF" w:val="clear"/>
            <w:vAlign w:val="center"/>
          </w:tcPr>
          <w:p>
            <w:pPr>
              <w:pStyle w:val="TableContents"/>
              <w:bidi w:val="0"/>
              <w:spacing w:before="0" w:after="0"/>
              <w:ind w:left="0" w:right="0" w:hanging="0"/>
              <w:jc w:val="left"/>
              <w:rPr/>
            </w:pPr>
            <w:r>
              <w:rPr/>
              <w:t> </w:t>
            </w:r>
          </w:p>
        </w:tc>
        <w:tc>
          <w:tcPr>
            <w:tcW w:w="430" w:type="dxa"/>
            <w:tcBorders/>
            <w:shd w:fill="CCEEFF" w:val="clear"/>
            <w:vAlign w:val="center"/>
          </w:tcPr>
          <w:p>
            <w:pPr>
              <w:pStyle w:val="TableContents"/>
              <w:bidi w:val="0"/>
              <w:spacing w:before="0" w:after="0"/>
              <w:ind w:left="0" w:right="0" w:hanging="0"/>
              <w:jc w:val="left"/>
              <w:rPr/>
            </w:pPr>
            <w:r>
              <w:rPr/>
              <w:t> </w:t>
            </w:r>
          </w:p>
        </w:tc>
        <w:tc>
          <w:tcPr>
            <w:tcW w:w="106" w:type="dxa"/>
            <w:tcBorders/>
            <w:shd w:fill="CCEE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0.03</w:t>
            </w:r>
          </w:p>
        </w:tc>
        <w:tc>
          <w:tcPr>
            <w:tcW w:w="60" w:type="dxa"/>
            <w:tcBorders/>
            <w:shd w:fill="CCEEFF" w:val="clear"/>
            <w:vAlign w:val="center"/>
          </w:tcPr>
          <w:p>
            <w:pPr>
              <w:pStyle w:val="TableContents"/>
              <w:bidi w:val="0"/>
              <w:spacing w:before="0" w:after="0"/>
              <w:ind w:left="0" w:right="0" w:hanging="0"/>
              <w:jc w:val="left"/>
              <w:rPr/>
            </w:pPr>
            <w:r>
              <w:rPr/>
              <w:t> </w:t>
            </w:r>
          </w:p>
        </w:tc>
        <w:tc>
          <w:tcPr>
            <w:tcW w:w="2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0.08</w:t>
            </w:r>
          </w:p>
        </w:tc>
        <w:tc>
          <w:tcPr>
            <w:tcW w:w="99" w:type="dxa"/>
            <w:tcBorders/>
            <w:shd w:fill="CCEEFF" w:val="clear"/>
            <w:vAlign w:val="center"/>
          </w:tcPr>
          <w:p>
            <w:pPr>
              <w:pStyle w:val="TableContents"/>
              <w:bidi w:val="0"/>
              <w:spacing w:before="0" w:after="0"/>
              <w:ind w:left="0" w:right="0" w:hanging="0"/>
              <w:jc w:val="left"/>
              <w:rPr/>
            </w:pPr>
            <w:r>
              <w:rPr/>
              <w:t> </w:t>
            </w:r>
          </w:p>
        </w:tc>
        <w:tc>
          <w:tcPr>
            <w:tcW w:w="400"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0.07</w:t>
            </w:r>
          </w:p>
        </w:tc>
        <w:tc>
          <w:tcPr>
            <w:tcW w:w="60"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pPr>
            <w:r>
              <w:rPr/>
              <w:t> </w:t>
            </w:r>
          </w:p>
        </w:tc>
      </w:tr>
      <w:tr>
        <w:trPr/>
        <w:tc>
          <w:tcPr>
            <w:tcW w:w="367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Non-GAAP adjusted diluted net income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5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0.19</w:t>
            </w:r>
          </w:p>
        </w:tc>
        <w:tc>
          <w:tcPr>
            <w:tcW w:w="106" w:type="dxa"/>
            <w:tcBorders/>
            <w:shd w:fill="FFFFFF" w:val="clear"/>
            <w:vAlign w:val="center"/>
          </w:tcPr>
          <w:p>
            <w:pPr>
              <w:pStyle w:val="TableContents"/>
              <w:bidi w:val="0"/>
              <w:spacing w:before="0" w:after="0"/>
              <w:ind w:left="0" w:right="0" w:hanging="0"/>
              <w:jc w:val="left"/>
              <w:rPr/>
            </w:pPr>
            <w:r>
              <w:rPr/>
              <w:t> </w:t>
            </w:r>
          </w:p>
        </w:tc>
        <w:tc>
          <w:tcPr>
            <w:tcW w:w="4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(5)</w:t>
            </w:r>
          </w:p>
        </w:tc>
        <w:tc>
          <w:tcPr>
            <w:tcW w:w="106" w:type="dxa"/>
            <w:tcBorders/>
            <w:shd w:fill="FFFFFF" w:val="clear"/>
            <w:vAlign w:val="center"/>
          </w:tcPr>
          <w:p>
            <w:pPr>
              <w:pStyle w:val="TableContents"/>
              <w:bidi w:val="0"/>
              <w:spacing w:before="0" w:after="0"/>
              <w:ind w:left="0" w:right="0" w:hanging="0"/>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0.15</w:t>
            </w:r>
          </w:p>
        </w:tc>
        <w:tc>
          <w:tcPr>
            <w:tcW w:w="60" w:type="dxa"/>
            <w:tcBorders/>
            <w:shd w:fill="FFFFFF" w:val="clear"/>
            <w:vAlign w:val="center"/>
          </w:tcPr>
          <w:p>
            <w:pPr>
              <w:pStyle w:val="TableContents"/>
              <w:bidi w:val="0"/>
              <w:spacing w:before="0" w:after="0"/>
              <w:ind w:left="0" w:right="0" w:hanging="0"/>
              <w:jc w:val="left"/>
              <w:rPr/>
            </w:pPr>
            <w:r>
              <w:rPr/>
              <w:t> </w:t>
            </w:r>
          </w:p>
        </w:tc>
        <w:tc>
          <w:tcPr>
            <w:tcW w:w="23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0.16</w:t>
            </w:r>
          </w:p>
        </w:tc>
        <w:tc>
          <w:tcPr>
            <w:tcW w:w="99" w:type="dxa"/>
            <w:tcBorders/>
            <w:shd w:fill="FFFFFF" w:val="clear"/>
            <w:vAlign w:val="center"/>
          </w:tcPr>
          <w:p>
            <w:pPr>
              <w:pStyle w:val="TableContents"/>
              <w:bidi w:val="0"/>
              <w:spacing w:before="0" w:after="0"/>
              <w:ind w:left="0" w:right="0" w:hanging="0"/>
              <w:jc w:val="left"/>
              <w:rPr/>
            </w:pPr>
            <w:r>
              <w:rPr/>
              <w:t> </w:t>
            </w:r>
          </w:p>
        </w:tc>
        <w:tc>
          <w:tcPr>
            <w:tcW w:w="4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 w:type="dxa"/>
            <w:tcBorders/>
            <w:shd w:fill="FFFFFF" w:val="clear"/>
            <w:vAlign w:val="center"/>
          </w:tcPr>
          <w:p>
            <w:pPr>
              <w:pStyle w:val="TableContents"/>
              <w:bidi w:val="0"/>
              <w:spacing w:before="0" w:after="0"/>
              <w:ind w:left="0" w:right="0" w:hanging="0"/>
              <w:jc w:val="left"/>
              <w:rPr/>
            </w:pPr>
            <w:r>
              <w:rPr/>
              <w:t> </w:t>
            </w:r>
          </w:p>
        </w:tc>
        <w:tc>
          <w:tcPr>
            <w:tcW w:w="20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8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0.25</w:t>
            </w:r>
          </w:p>
        </w:tc>
        <w:tc>
          <w:tcPr>
            <w:tcW w:w="60" w:type="dxa"/>
            <w:tcBorders/>
            <w:shd w:fill="FFFFFF" w:val="clear"/>
            <w:vAlign w:val="center"/>
          </w:tcPr>
          <w:p>
            <w:pPr>
              <w:pStyle w:val="TableContents"/>
              <w:bidi w:val="0"/>
              <w:spacing w:before="0" w:after="0"/>
              <w:ind w:left="0" w:right="0" w:hanging="0"/>
              <w:jc w:val="left"/>
              <w:rPr/>
            </w:pPr>
            <w:r>
              <w:rPr/>
              <w:t> </w:t>
            </w:r>
          </w:p>
        </w:tc>
        <w:tc>
          <w:tcPr>
            <w:tcW w:w="24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To reflect a non-cash charge to operating expense for selling, general, and administrative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To reflect a non-cash charge to operating expense for research and development stock-based compensation.</w:t>
            </w:r>
          </w:p>
        </w:tc>
      </w:tr>
      <w:tr>
        <w:trPr/>
        <w:tc>
          <w:tcPr>
            <w:tcW w:w="102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Non-GAAP adjusted basic net income per share was calculated based on 50,939,946 and 50,892,800 weighted-average shares of common stock outstanding for the three and six months ended June 30, 2026, respectively.</w:t>
            </w:r>
          </w:p>
        </w:tc>
      </w:tr>
      <w:tr>
        <w:trPr/>
        <w:tc>
          <w:tcPr>
            <w:tcW w:w="10205" w:type="dxa"/>
            <w:tcBorders/>
            <w:vAlign w:val="center"/>
          </w:tcPr>
          <w:p>
            <w:pPr>
              <w:pStyle w:val="TableContents"/>
              <w:bidi w:val="0"/>
              <w:spacing w:before="0" w:after="283"/>
              <w:jc w:val="left"/>
              <w:rPr/>
            </w:pPr>
            <w:r>
              <w:rPr/>
              <w:t>(4) Non-GAAP adjusted basic net income per share was calculated based on 49,700,217 and 49,648,246 weighted-average shares of common stock outstanding for the three and six months ended June 30, 2025, respectively.</w:t>
            </w:r>
          </w:p>
        </w:tc>
      </w:tr>
      <w:tr>
        <w:trPr/>
        <w:tc>
          <w:tcPr>
            <w:tcW w:w="10205" w:type="dxa"/>
            <w:tcBorders/>
            <w:vAlign w:val="center"/>
          </w:tcPr>
          <w:p>
            <w:pPr>
              <w:pStyle w:val="TableContents"/>
              <w:bidi w:val="0"/>
              <w:spacing w:before="0" w:after="283"/>
              <w:jc w:val="left"/>
              <w:rPr/>
            </w:pPr>
            <w:r>
              <w:rPr/>
              <w:t>(5) Non-GAAP adjusted diluted net income per share was calculated based on 52,596,589 and 52,278,925 weighted-average shares of common stock outstanding for the three and six months ended June 30, 2026, respectively.</w:t>
            </w:r>
          </w:p>
        </w:tc>
      </w:tr>
      <w:tr>
        <w:trPr/>
        <w:tc>
          <w:tcPr>
            <w:tcW w:w="10205" w:type="dxa"/>
            <w:tcBorders/>
            <w:vAlign w:val="center"/>
          </w:tcPr>
          <w:p>
            <w:pPr>
              <w:pStyle w:val="TableContents"/>
              <w:bidi w:val="0"/>
              <w:spacing w:before="0" w:after="283"/>
              <w:jc w:val="left"/>
              <w:rPr/>
            </w:pPr>
            <w:r>
              <w:rPr/>
              <w:t>(6) Non-GAAP adjusted diluted net income per share was calculated based on 50,144,704 and 50,003,709 weighted-average shares of common stock outstanding for the three and six months ended June 30, 2025, respectively.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Off-Balance Sheet Arrangements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do not have any “off-balance sheet arrangements,” as defined by SEC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shd w:fill="FFFFFF" w:val="clear"/>
        </w:rPr>
        <w:t>Contractual Obligations</w:t>
      </w:r>
      <w:r>
        <w:rPr>
          <w:rFonts w:ascii="Times New Roman" w:hAnsi="Times New Roman"/>
          <w:caps w:val="false"/>
          <w:smallCaps w:val="false"/>
          <w:sz w:val="20"/>
          <w:shd w:fill="FFFFFF" w:val="clear"/>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business to our contractual obligations and commitments as described in “Management’s Discussion and Analysis of Financial Condition and Results of Operations” in our Annual Report on Form 10-K for the year ended December 31, 2025.</w:t>
      </w:r>
    </w:p>
    <w:p>
      <w:pPr>
        <w:pStyle w:val="TextBody"/>
        <w:bidi w:val="0"/>
        <w:spacing w:before="0" w:after="0"/>
        <w:ind w:left="0" w:right="0" w:hanging="0"/>
        <w:jc w:val="left"/>
        <w:rPr/>
      </w:pPr>
      <w:r>
        <w:rPr/>
        <w:t> </w:t>
      </w:r>
    </w:p>
    <w:tbl>
      <w:tblPr>
        <w:tblW w:w="7570" w:type="dxa"/>
        <w:jc w:val="left"/>
        <w:tblInd w:w="0" w:type="dxa"/>
        <w:tblLayout w:type="fixed"/>
        <w:tblCellMar>
          <w:top w:w="0" w:type="dxa"/>
          <w:left w:w="0" w:type="dxa"/>
          <w:bottom w:w="0" w:type="dxa"/>
          <w:right w:w="0" w:type="dxa"/>
        </w:tblCellMar>
      </w:tblPr>
      <w:tblGrid>
        <w:gridCol w:w="605"/>
        <w:gridCol w:w="6965"/>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bookmarkStart w:id="10" w:name="qqdmr"/>
            <w:bookmarkEnd w:id="10"/>
          </w:p>
        </w:tc>
        <w:tc>
          <w:tcPr>
            <w:tcW w:w="69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Some of the securities that we invest in have market risk in that a change in prevailing interest rates may cause the principal amount of the cash equivalents to fluctuate. Financial instruments that potentially subject us to significant concentrations of credit risk consist primarily of cash and cash equivalents. We invested our excess cash primarily in cash equivalents such as money market investments as of June 30, 2026. The primary objectives of our investment activities are to ensure liquidity and to preserve principal while at the same time maximizing the income we receive from our cash and cash equivalents without significantly increasing risk. Additionally, we established guidelines regarding approved investments and maturities of investments, which are designed to maintain safety and liquidity.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Because of the short-term maturities of our cash equivalents, we do not believe that a 10% increase in interest rates would have a material effect on the realized value of our cash equivalents.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June 30, 2026, we no longer have interest rate exposure related to our previous b</w:t>
      </w:r>
      <w:r>
        <w:rPr>
          <w:rFonts w:ascii="Times New Roman" w:hAnsi="Times New Roman"/>
          <w:caps w:val="false"/>
          <w:smallCaps w:val="false"/>
          <w:sz w:val="20"/>
          <w:shd w:fill="FFFFFF" w:val="clear"/>
        </w:rPr>
        <w:t>orrowings under the Athyrium Notes. As of </w:t>
      </w:r>
      <w:r>
        <w:rPr>
          <w:rFonts w:ascii="Times New Roman" w:hAnsi="Times New Roman"/>
          <w:caps w:val="false"/>
          <w:smallCaps w:val="false"/>
          <w:sz w:val="20"/>
        </w:rPr>
        <w:t>June 30, 2026</w:t>
      </w:r>
      <w:r>
        <w:rPr>
          <w:rFonts w:ascii="Times New Roman" w:hAnsi="Times New Roman"/>
          <w:caps w:val="false"/>
          <w:smallCaps w:val="false"/>
          <w:sz w:val="20"/>
          <w:shd w:fill="FFFFFF" w:val="clear"/>
        </w:rPr>
        <w:t>, the aggregate outstanding principal amount of the Athyrium Notes was </w:t>
      </w:r>
      <w:r>
        <w:rPr>
          <w:rFonts w:ascii="Times New Roman" w:hAnsi="Times New Roman"/>
          <w:caps w:val="false"/>
          <w:smallCaps w:val="false"/>
          <w:sz w:val="20"/>
        </w:rPr>
        <w:t>$0.0 </w:t>
      </w:r>
      <w:r>
        <w:rPr>
          <w:rFonts w:ascii="Times New Roman" w:hAnsi="Times New Roman"/>
          <w:caps w:val="false"/>
          <w:smallCaps w:val="false"/>
          <w:sz w:val="20"/>
          <w:shd w:fill="FFFFFF" w:val="clear"/>
        </w:rPr>
        <w:t>million. </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520" w:type="dxa"/>
        <w:jc w:val="left"/>
        <w:tblInd w:w="0" w:type="dxa"/>
        <w:tblLayout w:type="fixed"/>
        <w:tblCellMar>
          <w:top w:w="0" w:type="dxa"/>
          <w:left w:w="0" w:type="dxa"/>
          <w:bottom w:w="0" w:type="dxa"/>
          <w:right w:w="0" w:type="dxa"/>
        </w:tblCellMar>
      </w:tblPr>
      <w:tblGrid>
        <w:gridCol w:w="605"/>
        <w:gridCol w:w="2915"/>
      </w:tblGrid>
      <w:tr>
        <w:trPr/>
        <w:tc>
          <w:tcPr>
            <w:tcW w:w="6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4.</w:t>
            </w:r>
            <w:bookmarkStart w:id="11" w:name="cp"/>
            <w:bookmarkEnd w:id="11"/>
          </w:p>
        </w:tc>
        <w:tc>
          <w:tcPr>
            <w:tcW w:w="29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Evaluation of Disclosure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our reports under the Exchange Act, is recorded, processed, summarized and reported within the timelines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was required to apply its judgment in evaluating the cost-benefit relationship of possible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Chief Financial Officer, we have evaluated the effectiveness of our disclosure controls and procedures (as defined under Exchange Act Rule 13a-15(e)), as of June 30, 2026. Based on that evaluation, our Chief Executive Officer and Chief Financial Officer have concluded that these disclosure controls and procedures were effective as of June 30,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2" w:name="partii"/>
      <w:bookmarkEnd w:id="12"/>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5"/>
        <w:gridCol w:w="2165"/>
      </w:tblGrid>
      <w:tr>
        <w:trPr/>
        <w:tc>
          <w:tcPr>
            <w:tcW w:w="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bookmarkStart w:id="13" w:name="legal"/>
            <w:bookmarkEnd w:id="13"/>
          </w:p>
        </w:tc>
        <w:tc>
          <w:tcPr>
            <w:tcW w:w="2165" w:type="dxa"/>
            <w:tcBorders/>
            <w:vAlign w:val="center"/>
          </w:tcPr>
          <w:p>
            <w:pPr>
              <w:pStyle w:val="TableContents"/>
              <w:bidi w:val="0"/>
              <w:spacing w:before="0" w:after="0"/>
              <w:ind w:left="0" w:right="0" w:hanging="0"/>
              <w:jc w:val="left"/>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LEGAL PROCEEDINGS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Legal Malpractice Suit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 xml:space="preserve">On September 17, 2020, the Company filed a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in the Superior Court of Mecklenburg County, North Carolina. The Company is alleging legal malpractice based on the defendants’ negligent handling of the defense of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The Company is seeking recovery of the entire amount awarded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and all legal fees and expenses incurred in appealing from the judgment and retrying the damages phase of the trial. On November 23, 2020, the defendant filed an answer to the complaint denying the allegations of negligence. On August 19, 2022, the Company filed a voluntary dismissal of the legal malpractice action, without prejudice, to allow the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xml:space="preserve">. to conclude before proceedings. On June 2, 2023, the Company re-filed the lawsuit against Hedrick Gardner Kincheloe &amp; Garofalo, L.L.P. and David L. Levy, the attorneys who previously represented the Company in </w:t>
      </w:r>
      <w:r>
        <w:rPr>
          <w:rFonts w:ascii="Times New Roman" w:hAnsi="Times New Roman"/>
          <w:i/>
          <w:caps w:val="false"/>
          <w:smallCaps w:val="false"/>
          <w:sz w:val="20"/>
        </w:rPr>
        <w:t>Eshelman v. Puma Biotechnology, Inc., et al.</w:t>
      </w:r>
      <w:r>
        <w:rPr>
          <w:rFonts w:ascii="Times New Roman" w:hAnsi="Times New Roman"/>
          <w:caps w:val="false"/>
          <w:smallCaps w:val="false"/>
          <w:sz w:val="20"/>
        </w:rPr>
        <w:t> in the Superior Court of Mecklenburg County, North Carolina. On August 22, 2023, the defendants filed motions to dismiss the case. These motions were presented at a hearing on February 20, 2024. The Superior Court Judge granted the motions to dismiss on March 20, 2024. The Company appealed this ruling to the North Carolina Court of Appeals. On September 3, 2025, the Court of Appeals reversed the dismissal of the Company’s claim for legal malpractice and remanded the case to the Superior Court for further proceedings. The defendants filed a petition for discretionary review of this decision by the North Carolina Supreme Court on October 8, 2025. The Supreme Court has not decided whether to accept the case for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shd w:fill="FFFFFF" w:val="clear"/>
        </w:rPr>
        <w:t>Patent-Related Proceedings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shd w:fill="FFFFFF" w:val="clear"/>
        </w:rPr>
        <w:t>AstraZeneca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shd w:fill="FFFFFF" w:val="clear"/>
        </w:rPr>
        <w:t>On September 22, 2021, the Company filed suit against AstraZeneca Pharmaceuticals, LP, AstraZeneca AB, and AstraZeneca PLC for infringement of United States Patent Nos. 10,603,314 (“the ‘314 patent”) and 10,596,162 (“the ‘162 patent”) (</w:t>
      </w:r>
      <w:r>
        <w:rPr>
          <w:rFonts w:ascii="Times New Roman" w:hAnsi="Times New Roman"/>
          <w:i/>
          <w:caps w:val="false"/>
          <w:smallCaps w:val="false"/>
          <w:sz w:val="20"/>
          <w:shd w:fill="FFFFFF" w:val="clear"/>
        </w:rPr>
        <w:t>Puma Biotechnology, Inc. et al. v. AstraZeneca Pharmaceuticals LP et al</w:t>
      </w:r>
      <w:r>
        <w:rPr>
          <w:rFonts w:ascii="Times New Roman" w:hAnsi="Times New Roman"/>
          <w:caps w:val="false"/>
          <w:smallCaps w:val="false"/>
          <w:sz w:val="20"/>
          <w:shd w:fill="FFFFFF" w:val="clear"/>
        </w:rPr>
        <w:t xml:space="preserve">., 1:21CV01338 (D. Del. Sep. 22, 2021)). The Company’s complaint alleges that AstraZeneca’s commercial manufacture, use, offer for sale, sale, distribution, and/or importation of Tagrisso® (osimertinib) products for the treatment of gefitinib and/or erlotinib-resistant non-small cell lung cancer infringes the ‘314 and ‘162 patents. The Company is an exclusive licensee of the ‘314 and ‘162 patents under the Pfizer Agreement. Wyeth is a co-plaintiff. Plaintiffs seek a judgment that AstraZeneca’s product infringes the asserted patents and an award of monetary damages in an amount to be proven at trial. AstraZeneca AB and AstraZeneca Pharmaceuticals LP filed an answer and counterclaims on November 5, 2021, including claims challenging the asserted patents as not infringed and/or invalid, and accusing plaintiffs of unclean hands and patent misuse. The parties stipulated to dismiss AstraZeneca PLC as a defendant and Pfizer as a Counterclaim Defendant on December 10, 2021, which the Court so ordered on December 13, 2021. The Company filed its answer to AstraZeneca’s counterclaims on December 17, 2021, denying those claims. The case was reassigned to visiting Judge Matthew Kennelly of the Northern District of Illinois. A Markman Hearing was conducted on March 17, 2023, and the Court issued its claim construction decision on March 29, 2023. Fact discovery closed on May 19, 2023, and expert discovery closed on November 17, 2023. The Court denied the parties’ respective motions for summary judgment and Daubert motions, other than to clarify that Plaintiffs’ damages cannot extend to any time period before the asserted patents were issued. The Court granted AstraZeneca’s motion to dismiss the Company as a Plaintiff on constitutional standing grounds but denied the motion to dismiss Wyeth as a Plaintiff on constitutional standing grounds. On April 29, 2024, the Court granted AstraZeneca’s motion to dismiss AstraZeneca’s counterclaims against the Company, which removed the Company from the case. Wyeth remained in the case as a Plaintiff and counterclaim defendant. Under the Company’s worldwide exclusive license agreement with Pfizer, Inc. (the parent of Wyeth) as amended, the Company also maintains contractual rights to recover monetary damages in the AstraZeneca litigation, and those contractual rights are unaffected by the court’s March 18, 2024 and April 29, 2024 orders. A jury trial was held May 13-17, 2024. The jury found in favor of Wyeth and against AstraZeneca. In particular, the jury found that use of Tagrisso® according to each of the three FDA-approved indications infringes the asserted claims of the ‘314 and ‘162 patents, and that AstraZeneca induces that infringement. The jury further rejected AstraZeneca’s challenges to the validity of the patents, finding that they are not invalid. The jury awarded damages to Wyeth for past acts of infringement through December 31, 2023, in the amount of $107.5 million. A separate bench trial related to certain equitable claims and defenses raised by AstraZeneca was held before Judge Kennelly on June 20 and 25, 2024. On August 6, 2024, Judge Kennelly issued his ruling on the issues that were tried in the bench trial, finding for Wyeth and against AstraZeneca on all claims and defenses. The Court found that AstraZeneca had not proved its claim that Wyeth’s asserted patents were invalid as indefinite, or that Wyeth had committed acts that would give rise to findings of unclean hands, implied waiver, or patent misuse. AstraZeneca filed a motion challenging the jury’s verdict and requesting a new trial. Wyeth filed a motion requesting supplemental damages for past infringement from January 1, 2024, through the date of judgment; pre-and-post judgment interest, and ongoing royalties through the remaining term of the patents. Briefing on these motions from both sides was completed on July 16, 2024. On August 14, 2024, Judge Kennelly ruled on AstraZeneca’s motion challenging the jury’s verdict, granting it in part and denying it in part. The Court granted AstraZeneca’s motion for judgment </w:t>
      </w:r>
      <w:r>
        <w:rPr>
          <w:rFonts w:ascii="Times New Roman" w:hAnsi="Times New Roman"/>
          <w:caps w:val="false"/>
          <w:smallCaps w:val="false"/>
          <w:sz w:val="20"/>
        </w:rPr>
        <w:t>as a matter of law that the '314 and '162 patents are invalid under 35 U.S.C. § 112 for lacking enablement and adequate written description as to a particular claim limitation. In all other respects, the Court denied AstraZeneca’s motion. The Court entered its final and appealable judgment accordingly. The Company respectfully disagrees with the Court’s ruling regarding invalidity with respect to the particular claim limitation. Wyeth filed a notice of appeal on September 12, 2024, appealing the District Court’s judgment as a matter of law, as well as other rulings and opinions of the Court adverse to Wyeth. On December 18, 2024, Wyeth filed its opening brief. On March 13, 2025, AstraZeneca filed its response brief. On March 20, 2025, non-parties Regeneron Pharmaceuticals, Inc. and Sanofi-Aventis U.S. LLC filed a motion for leave to file an amicus curiae brief in the Federal Circuit. The motion was granted on May 16, 2025. On June 6, 2025, Wyeth filed its reply brief and oral arguments were held on May 7, 2026. On July 9, 2026, the Federal Circuit affirmed the judgment of the Delaware District Court, holding the patent claims at issue invalid. The Company can request further review from the full Federal Circuit and the Supreme Court.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Acebright 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18, 2022, Shanghai Acebright Pharmaceuticals Group Co., Ltd. (“Acebright”) filed an abbreviated new drug application (“ANDA”) with the National Medical Products Administration in China (“NMPA”) seeking approval to market a generic version of the Company’s NERLYNX® (neratinib) tablet, 40mg in China. Acebright seeks approval prior to the expiration of three patents listed on the China Patent Information Registration Platform for Marketed Drugs (“Chinese Orange Book”), namely, Chinese Patent Nos. ZL201410082103.7, ZL201080060546.6, and ZL200880118789.3 (the “’789 patent” and collectively, the “NERLYNX® Patents”), alleging in a Type 4.2 patent declaration that its generic version of NERLYNX does not fall within the scope of the claims of NERLYNX® Patents listed in the Chinese Orange Book. The patent declaration of Acebright was published in the Chinese Orange Book on January 19, 2022. On March 2, 2022, the Company filed petitions with the China National Intellectual Property Administration (“CNIPA”) and requested administrative determination that Acebright’s generic neratinib tablet falls within the scope of the claims of NERLYNX® Patents listed in the Chinese Orange Book. The Company’s request for administrative determination was accepted by CNIPA on March 18, 2022. The Company has notified NMPA of the acceptance of the request for administrative determination for NMPA to institute a stay of Acebright’s ANDA for nine months. On July 11, 2022, CNIPA decided that claims 5 and 6 of Patent No. ZL200880118789.3 are not eligible for registration in the Chinese Orange Book on the ground that these two pharmaceutical method-of-use claims fall within the scope of “patents of crystalline forms,” which are not eligible for listing in the Chinese Orange Book. On September 9, 2022, CNIPA decided that the generic drug in Acebright’s ANDA does not fall within the protection scope of claims 1, 3, 5 and 6 of Patent No. ZL201410082103.7 and claims 1-4, 7 and 9-13 of Patent No. ZL201080060546.6. The three CNIPA administrative decisions on NERLYNX® Patents have lifted the stay of Acebright’s ANDA by NMPA. The Company has appealed each CNIPA administrative decision in January 2023 at the Beijing Intellectual Property Court (“BJIPC”). The three appeals were accepted by BJIPC on February 20, 2023. The Company also filed three civil complaints based on the three NERLYNX® Patents against Acebright with the BJIPC in July 2022 and requested court determination that Acebright’s generic neratinib tablet falls within the scope of the claims of NERLYNX® Patents. On May 6, 2023, the Company withdrew two civil lawsuits and two appeals in relation to Chinese Patent Nos. ZL201410082103.7 and ZL201080060546.6 at the BJIPC. On May 24, 2023, the BJIPC accepted the Company’s withdrawal request. On July 24, 2023, the Company withdrew the one remaining civil lawsuit and one appeal in relation to Chinese Patent No. ZL200880118789.3 at the BJIPC. On August 15, 2023, the BJIPC accepted the Company’s withdrawal request. On September 12, 2023, the NMPA approved Acebright’s ANDA to market a generic version of the Company’s NERLYNX® in China with the approval number of GuoYaoZhunZi H20234141.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28, 2023, the Company filed a civil lawsuit against Acebright for infringement of the ’789 patent under Article 11 of the Chinese Patent Law before Jiangsu Nanjing Intermediate People’s Court. The Company’s complaint alleges that Acebright’s offer for sale of a generic version of the Company’s NERLYNX® product infringes the ’789 patent. The Company seeks a judgment that Acebright’s product infringes the ’789 patent and Acebright’s act of offer for sale shall be enjoined. On January 2, 2024, Jiangsu Nanjing Intermediate People’s Court accepted the civil complaint. An oral hearing was held on June 19, 2024, during which the Company amended its complaint to allege that Acebright making, selling and offering to sell the generic version of NERLYNX® infringes the ’789 patent. On July 24, 2024, the Company submitted a request to withdraw the lawsuit. On August 8, 2024, Jiangsu Nanjing Intermediate People’s Court accepted the withdrawal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27, 2024, the Company filed an additional patent infringement claim against Acebright at Jiangsu Nanjing Intermediate People’s Court. On October 14, 2024, the Court accepted the complaint and designated case number (2024) Su 01 Min Chu 2192 to this case. On December 16, 2024, the Court conducted an evidence exchange hearing. On January 10, 2025, the Court conducted a hearing of party experts on the evaluation of evidence. On July 14, 2025, the Court conducted a hearing to examine evidence and debate merits of party arguments. On September 28, 2025, the Court issued a first-instance decision, deciding that Acebright’s product does not fall within the scope of the patent-in-suit, and Acebright did not infringe the NERLYNX® Patents. The Court also decided that the Company’s enforcement efforts were not malicious and did not amount to unfair competition.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Aosaikang</w:t>
      </w:r>
      <w:r>
        <w:rPr>
          <w:rFonts w:ascii="Times New Roman" w:hAnsi="Times New Roman"/>
          <w:caps w:val="false"/>
          <w:smallCaps w:val="false"/>
          <w:sz w:val="20"/>
        </w:rPr>
        <w:t> </w:t>
      </w:r>
      <w:r>
        <w:rPr>
          <w:rFonts w:ascii="Times New Roman" w:hAnsi="Times New Roman"/>
          <w:i/>
          <w:caps w:val="false"/>
          <w:smallCaps w:val="false"/>
          <w:sz w:val="20"/>
        </w:rPr>
        <w:t>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November 17, 2022, Jiangsu Aosaikang Pharmaceutical Co. Ltd. (“Aosaikang”) filed an ANDA with NMPA in China seeking approval to market a generic version of the Company’s NERLYNX®. The ANDA application No. is CYHS2202006. Aosaikang made Type 4.2 declarations against the four Orange Book Patents ZL201410082103.7, ZL201080060546.6, ZL200880118789.3 and ZL201710057547.9, alleging that its generic version of NERLYNX does not fall within the scope of the claims of the Orange Book patents. Aosaikang also alleged that Patents ZL200880118789.3 and ZL201710057547.9 are not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28, 2022, the Company submitted four Article 76 petitions against the Aosaikang ANDA with the CNIPA and requested administrative determination that Aosaikang’s generic neratinib tablet falls within the scope of the claims of the four Orange Book patents. On January 6, 2023, the CNIPA accepted the Company’s request for administrative determination in relation to Patent Nos. ZL201410082103.7 and ZL201080060546.6. Also on January 6,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January 28, 2023, the Company requested the NMPA to institute a nine-month stay against Aosaikang ANDA starting from the CNIPA’s acceptance of the Company’s request for administrative determination. On June 2, 2023, CNIPA decided that the generic drug in Aosaikang’s ANDA does not fall within the protection scope of claims 1, 3, 5 and 6 of Patent No. ZL201410082103.7 and claims 1-4, 7 and 9-13 of Patent No. ZL201080060546.6. The two CNIPA administrative decisions on NERLYNX® Patents have lifted the stay of Aosaikang’s ANDA by NMPA. On October 22, 2024, the NMPA approved Aosaikang’s ANDA to market a generic version of the Company’s NERLYNX® in China with the approval number of GuoYaoZhunZi H20249180.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Convalife</w:t>
      </w:r>
      <w:r>
        <w:rPr>
          <w:rFonts w:ascii="Times New Roman" w:hAnsi="Times New Roman"/>
          <w:caps w:val="false"/>
          <w:smallCaps w:val="false"/>
          <w:sz w:val="20"/>
        </w:rPr>
        <w:t> </w:t>
      </w:r>
      <w:r>
        <w:rPr>
          <w:rFonts w:ascii="Times New Roman" w:hAnsi="Times New Roman"/>
          <w:i/>
          <w:caps w:val="false"/>
          <w:smallCaps w:val="false"/>
          <w:sz w:val="20"/>
        </w:rPr>
        <w:t>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Convalife Pharmaceuticals (Shanghai) Co., Ltd (“Convalife”) filed an ANDA with NMPA in China seeking approval to market a generic version of the Company’s NERLYNX®. The ANDA application No. is CYHS2202095. On December 23, 2022, Convalife made Type 4.2 declarations against the four Orange Book Patents ZL201410082103.7, ZL201080060546.6, ZL200880118789.3 and ZL201710057547.9, alleging that its generic version of NERLYNX does not fall within the scope of the claims of the Orange Book patents. Convalife also alleged that Patents ZL200880118789.3 and ZL201710057547.9 are not eligible for Chinese Orange Book 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February 1, 2023, the Company submitted four Article 76 petitions against the Convalife ANDA with the CNIPA and requested administrative determination that Convalife’s generic neratinib tablet falls within the scope of the claims of the four Orange Book patents. On February 3, 2023, the CNIPA accepted the Company’s request for administrative determination in relation to Patent Nos. ZL201410082103.7 and ZL201080060546.6. Also on February 3,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February 24, 2023, the Company requested the NMPA to institute a nine-month stay against Convalife ANDA starting from the CNIPA’s acceptance of the Company’s request for administrative determination. On June 2, 2023, CNIPA decided that the generic drug in Convalife’s ANDA does not fall within the protection scope of claims 1, 3, 5 and 6 of Patent No. ZL201410082103.7 and claims 1-4, 7 and 9-13 of Patent No. ZL201080060546.6. The two CNIPA administrative decisions on NERLYNX® Patents have lifted the stay of Convalife’s ANDA by NMPA. On June 28, 2024, the NMPA approved Convalife’s ANDA to market a generic version of the Company’s NERLYNX® in China with the approval number of GuoYaoZhunZi H20244222.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Kelun China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Hunan Kelun Pharmaceutical Co., Ltd. (“Kelun”) filed an ANDA with NMPA in China seeking approval to market a generic version of the Company’s NERLYNX®. The ANDA application No. is CYHS2300221. On January 28, 2023, Kelun made Type 4.2 declarations against the four Orange Book Patents ZL201410082103.7, ZL201080060546.6, ZL200880118789.3 and ZL201710057547.9, alleging that its generic version of NERLYNX does not fall within the scope of the claims of the Orange Book patents. Kelun also alleged that Patents ZL200880118789.3 and ZL201710057547.9 are not eligible for Chinese Orange Book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13, 2023, the Company submitted four Article 76 petitions against the Kelun ANDA with the CNIPA and requested administrative determination that Kelun’s generic neratinib tablet falls within the scope of the claims of the four Orange Book patents. On March 21, 2023, the CNIPA declined to accept the Company’s request for administrative determination in relation to Patent Nos. ZL200880118789.3 and ZL201710057547.9, alleging that the listed claims are not eligible for registration in the Chinese Orange Book on the ground that these pharmaceutical method-of-use claims fall within the scope of “patents of crystalline forms,” which are not eligible for listing in the Chinese Orange Book. On March 24, 2023, the CNIPA accepted the Company’s request for administrative determination in relation to Patent Nos. ZL201410082103.7 and ZL201080060546.6. On April 17, 2023, the Company requested the NMPA to institute a nine-month stay against Kelun’s ANDA starting from the CNIPA’s acceptance of the Company’s request for administrative determination. On September 14, 2023, the Company withdrew the two requests for administrative determination in relation to Chinese Patent Nos. ZL201410082103.7 and ZL201080060546.6 at the CNIPA. On September 25, 2023, the CNIPA accepted the Company’s withdrawal request. On September 9, 2025, the NMPA approved Kelun’s ANDA to market a generic version of the Company’s NERLYNX® in China with the approval number of GuoYaoZhunZi H20255337.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Demai Litigation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Zhengzhou Demai Pharmaceutical Co., Ltd (“Demai”) filed an ANDA with NMPA in China seeking approval to market a generic version of the Company’s NERLYNX®. The ANDA application No. is CYHS2402776. On August 26, 2024, Demai made a Type 4.2 declaration against Orange Book Patent ZL201410082103.7, alleging that its generic version of NERLYNX does not fall within the scope of the claims of this Orange Book patent. On September 30, 2024, the Company filed a lawsuit against Demai at the BJIPC based on Nerlynx Patent No. ZL201080060546.6 and on October 8, 2024, the Company filed a lawsuit against Demai at the BJIPC based on Nerlynx Patent No. ZL201410082103.7. On February 13, 2025, the Company withdrew the lawsuits from BJIPC, filed an Article 76 petition with the CNIPA against the Demai ANDA and requested administrative determination that Demai’s generic neratinib maleate tablet falls within the scope of the claims of Nerlynx Patent No. ZL201080060546.6. On February 21, 2025, the CNIPA accepted the Company’s petition and started examination. On March 18, 2025, the Company filed a request with the NMPA to set up a nine-month stay on Demai’s ANDA. On November 4, 2025, the NMPA approved Demai’s ANDA to market a generic version of Puma’s NERLYNX® in China with the approval number of GuoYaoZhunZi H20255844.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Hexal European Patent Opposition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 opposition was filed by Hexal AG (“Hexal”) on August 3, 2016 against European Patent No. EP2416774 which was licensed from Pfizer in 2011, and which claims neratinib for use in a method for treating HER-2/neu overexpressed/amplified cancer and improving IDFS, wherein the method comprises delivering neratinib therapy to HER-2/neu overexpressed/amplified cancer patients following the completion of at least one year of trastuzumab adjuvant therapy, and wherein the neratinib therapy comprises treating the cancer patients with neratinib for at least twelve months. An oral hearing was held on December 8, 2017, wherein the patent was maintained as granted. Following an appeal filed by Hexal, the Board of Appeal of the European Patent Office rejected the claims as granted and all pending auxiliary requests during the oral hearing of September 2, 2021. Before issuance of a decision, the Company withdrew approval of the text in which the patent was granted and all pending auxiliary requests, thereby revoking the patent and concluding the appeal. One European divisional application, namely EP15188350.1, was granted with the European patent number EP3000467 on March 1, 2023. Oppositions against EP3000467 were filed by Hexal on November 3, 2023, by Alfred E. Tiefenbacher (GmbH &amp; Co. KG) on November 28, 2023 and by Generics (UK) Limited (“Generics”) on December 1, 2023. EP3000467 is used as the basic patent for Supplementary Protection Certificate applications for the EMA-approved NERLYNX® product, 17 of which have been granted, three proceedings have been stayed, and 11 are in active prosecution. The patentee response to the notice of opposition was filed on April 15, 2024, following which, all three opponents filed additional arguments in reply to the patentee’s submission. On February 6, 2025, the Company filed its response to the summons to attend oral proceedings, including six auxiliary requests. Alfred E. Tiefenbacher and Hexal filed their responses to the summons to oral proceedings on February 6 and 7, 2025, respectively. Hexal filed a further brief on March 19, 2025. Oral proceedings took place on April 9 and 10, 2025. EP3000467 was upheld as amended after the first instance hearing based on Auxiliary Request 1, which covers the EMA approved indication for NERLYNX® as an extended adjuvant therapy for treating early stage hormone receptor-positive HER-2-overexpressed/amplified breast cancer. Hexal filed an appeal on June 6, 2025, Generics filed an appeal on June 20, 2025 and Wyeth filed an appeal on June 30, 2025. On September 5, 2025, Wyeth filed its grounds of appeal, including nine auxiliary requests. On the same day, Hexal filed its grounds of appeal. Generics filed its grounds of appeal on September 4, 2025, and Alfred E. Tiefenbacher filed its grounds of appeal on September 1, 2025. On December 16, 2025, Alfred E. Tiefenbacher withdrew its appeal. Wyeth responded to the opponents’ grounds of appeal on January 12, 2026. On March 2, 2026, Hexal withdrew its request for oral proceedings, but remains a party to the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European divisional application is pending in the same family, namely EP 23157078.8. A response to the European Search Opinion (“ESO”) for this application was filed February 14, 2024. The first office action was issued on January 28, 2025 with a response to the first office action filed on July 22, 2025.</w:t>
      </w:r>
    </w:p>
    <w:p>
      <w:pPr>
        <w:pStyle w:val="TextBody"/>
        <w:bidi w:val="0"/>
        <w:spacing w:before="0" w:after="0"/>
        <w:ind w:left="0" w:right="0" w:hanging="0"/>
        <w:jc w:val="left"/>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740"/>
        <w:gridCol w:w="14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1A.</w:t>
            </w:r>
            <w:bookmarkStart w:id="14" w:name="risks"/>
            <w:bookmarkEnd w:id="14"/>
          </w:p>
        </w:tc>
        <w:tc>
          <w:tcPr>
            <w:tcW w:w="14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RISK FACTORS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Under Item 1A of our Annual Report on Form 10-K for the year ended December 31, 2025, we identified important factors that could affect our financial performance and could cause our actual results for future periods to differ materially from our anticipated results or other expectations, including those expressed in any forward-looking statements made in this Quarterly Report. Except as described below, there has been no material change in our risk factors subsequent to the filing of our prior reports referenced above. However, the risks described in our reports are not the only risks we face. Additional risks and uncertainties that we currently deem to be immaterial or not currently known to us, as well as other risks reported from time to time in our reports to the SEC, also could cause our actual results to differ materially from our anticipated results or other expectations</w:t>
      </w:r>
      <w:r>
        <w:rPr>
          <w:rFonts w:ascii="Times New Roman" w:hAnsi="Times New Roman"/>
          <w:i/>
          <w:caps w:val="false"/>
          <w:smallCaps w:val="false"/>
          <w:sz w:val="20"/>
        </w:rPr>
        <w:t>.</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7450" w:type="dxa"/>
        <w:jc w:val="left"/>
        <w:tblInd w:w="0" w:type="dxa"/>
        <w:tblLayout w:type="fixed"/>
        <w:tblCellMar>
          <w:top w:w="0" w:type="dxa"/>
          <w:left w:w="0" w:type="dxa"/>
          <w:bottom w:w="0" w:type="dxa"/>
          <w:right w:w="0" w:type="dxa"/>
        </w:tblCellMar>
      </w:tblPr>
      <w:tblGrid>
        <w:gridCol w:w="605"/>
        <w:gridCol w:w="684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2.</w:t>
            </w:r>
            <w:bookmarkStart w:id="15" w:name="uses"/>
            <w:bookmarkEnd w:id="15"/>
          </w:p>
        </w:tc>
        <w:tc>
          <w:tcPr>
            <w:tcW w:w="68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UNREGISTERED SALES OF EQUITY SECURITIES AND USE OF PROCEEDS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Sales of Unregistered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shd w:fill="FFFFFF" w:val="clear"/>
        </w:rPr>
        <w:t>None.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Purchases of Equity Securities by the Issuer and Affiliated Purchasers</w:t>
      </w:r>
      <w:r>
        <w:rPr>
          <w:rFonts w:ascii="Times New Roman" w:hAnsi="Times New Roman"/>
          <w:caps w:val="false"/>
          <w:smallCaps w:val="false"/>
          <w:sz w:val="20"/>
        </w:rPr>
        <w:t xml:space="preserve">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pPr>
      <w:r>
        <w:rPr/>
        <w:t> </w:t>
      </w:r>
    </w:p>
    <w:tbl>
      <w:tblPr>
        <w:tblW w:w="4240" w:type="dxa"/>
        <w:jc w:val="left"/>
        <w:tblInd w:w="0" w:type="dxa"/>
        <w:tblLayout w:type="fixed"/>
        <w:tblCellMar>
          <w:top w:w="0" w:type="dxa"/>
          <w:left w:w="0" w:type="dxa"/>
          <w:bottom w:w="0" w:type="dxa"/>
          <w:right w:w="0" w:type="dxa"/>
        </w:tblCellMar>
      </w:tblPr>
      <w:tblGrid>
        <w:gridCol w:w="605"/>
        <w:gridCol w:w="363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3.</w:t>
            </w:r>
            <w:bookmarkStart w:id="16" w:name="duss"/>
            <w:bookmarkEnd w:id="16"/>
          </w:p>
        </w:tc>
        <w:tc>
          <w:tcPr>
            <w:tcW w:w="363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DEFAULTS UPON SENIOR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160" w:right="0" w:firstLine="540"/>
        <w:jc w:val="left"/>
        <w:rPr>
          <w:caps w:val="false"/>
          <w:smallCaps w:val="false"/>
        </w:rPr>
      </w:pPr>
      <w:r>
        <w:rPr>
          <w:caps w:val="false"/>
          <w:smallCaps w:val="false"/>
        </w:rPr>
        <w:t> </w:t>
      </w:r>
    </w:p>
    <w:tbl>
      <w:tblPr>
        <w:tblW w:w="3355" w:type="dxa"/>
        <w:jc w:val="left"/>
        <w:tblInd w:w="0" w:type="dxa"/>
        <w:tblLayout w:type="fixed"/>
        <w:tblCellMar>
          <w:top w:w="0" w:type="dxa"/>
          <w:left w:w="0" w:type="dxa"/>
          <w:bottom w:w="0" w:type="dxa"/>
          <w:right w:w="0" w:type="dxa"/>
        </w:tblCellMar>
      </w:tblPr>
      <w:tblGrid>
        <w:gridCol w:w="605"/>
        <w:gridCol w:w="275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 4.</w:t>
            </w:r>
            <w:bookmarkStart w:id="17" w:name="msd"/>
            <w:bookmarkEnd w:id="17"/>
          </w:p>
        </w:tc>
        <w:tc>
          <w:tcPr>
            <w:tcW w:w="275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160" w:right="0" w:firstLine="540"/>
        <w:jc w:val="left"/>
        <w:rPr>
          <w:caps w:val="false"/>
          <w:smallCaps w:val="false"/>
        </w:rPr>
      </w:pPr>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605"/>
        <w:gridCol w:w="2195"/>
      </w:tblGrid>
      <w:tr>
        <w:trPr/>
        <w:tc>
          <w:tcPr>
            <w:tcW w:w="605" w:type="dxa"/>
            <w:tcBorders/>
            <w:vAlign w:val="center"/>
          </w:tcPr>
          <w:p>
            <w:pPr>
              <w:pStyle w:val="TableContents"/>
              <w:bidi w:val="0"/>
              <w:spacing w:before="0" w:after="0"/>
              <w:ind w:left="0" w:right="0" w:hanging="0"/>
              <w:jc w:val="left"/>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Style w:val="Emphasis"/>
                <w:rFonts w:ascii="Times New Roman;Times;serif" w:hAnsi="Times New Roman;Times;serif"/>
                <w:b/>
                <w:caps w:val="false"/>
                <w:smallCaps w:val="false"/>
                <w:sz w:val="20"/>
              </w:rPr>
              <w:t>5.</w:t>
            </w:r>
            <w:bookmarkStart w:id="18" w:name="oi"/>
            <w:bookmarkEnd w:id="18"/>
          </w:p>
        </w:tc>
        <w:tc>
          <w:tcPr>
            <w:tcW w:w="21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20" w:right="0" w:hanging="0"/>
        <w:jc w:val="left"/>
        <w:rPr>
          <w:rFonts w:ascii="Times New Roman" w:hAnsi="Times New Roman"/>
          <w:caps w:val="false"/>
          <w:smallCaps w:val="false"/>
          <w:sz w:val="20"/>
        </w:rPr>
      </w:pPr>
      <w:r>
        <w:rPr>
          <w:rFonts w:ascii="Times New Roman" w:hAnsi="Times New Roman"/>
          <w:b/>
          <w:caps w:val="false"/>
          <w:smallCaps w:val="false"/>
          <w:sz w:val="20"/>
        </w:rPr>
        <w:t>Trading Plans</w:t>
      </w:r>
      <w:r>
        <w:rPr>
          <w:rFonts w:ascii="Times New Roman" w:hAnsi="Times New Roman"/>
          <w:caps w:val="false"/>
          <w:smallCaps w:val="false"/>
          <w:sz w:val="20"/>
        </w:rPr>
        <w:t xml:space="preserve"> </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our directors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(f) under the Exchange Act) who adopted or terminated contracts, instructions, written plans or arrangements for the purchase or sale of our securities are set forth in the table below:</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14"/>
        <w:gridCol w:w="575"/>
        <w:gridCol w:w="1032"/>
        <w:gridCol w:w="1025"/>
        <w:gridCol w:w="1596"/>
        <w:gridCol w:w="1886"/>
        <w:gridCol w:w="1477"/>
      </w:tblGrid>
      <w:tr>
        <w:trPr/>
        <w:tc>
          <w:tcPr>
            <w:tcW w:w="2614" w:type="dxa"/>
            <w:tcBorders/>
            <w:vAlign w:val="center"/>
          </w:tcPr>
          <w:p>
            <w:pPr>
              <w:pStyle w:val="TableContents"/>
              <w:bidi w:val="0"/>
              <w:spacing w:before="0" w:after="0"/>
              <w:ind w:left="0" w:right="0" w:hanging="0"/>
              <w:jc w:val="left"/>
              <w:rPr/>
            </w:pPr>
            <w:r>
              <w:rPr/>
              <w:t> </w:t>
            </w:r>
          </w:p>
        </w:tc>
        <w:tc>
          <w:tcPr>
            <w:tcW w:w="575" w:type="dxa"/>
            <w:tcBorders/>
            <w:vAlign w:val="center"/>
          </w:tcPr>
          <w:p>
            <w:pPr>
              <w:pStyle w:val="TableContents"/>
              <w:bidi w:val="0"/>
              <w:spacing w:before="0" w:after="0"/>
              <w:ind w:left="0" w:right="0" w:hanging="0"/>
              <w:jc w:val="left"/>
              <w:rPr/>
            </w:pPr>
            <w:r>
              <w:rPr/>
              <w:t> </w:t>
            </w:r>
          </w:p>
        </w:tc>
        <w:tc>
          <w:tcPr>
            <w:tcW w:w="1032" w:type="dxa"/>
            <w:tcBorders/>
            <w:vAlign w:val="center"/>
          </w:tcPr>
          <w:p>
            <w:pPr>
              <w:pStyle w:val="TableContents"/>
              <w:bidi w:val="0"/>
              <w:spacing w:before="0" w:after="0"/>
              <w:ind w:left="0" w:right="0" w:hanging="0"/>
              <w:jc w:val="left"/>
              <w:rPr/>
            </w:pPr>
            <w:r>
              <w:rPr/>
              <w:t> </w:t>
            </w:r>
          </w:p>
        </w:tc>
        <w:tc>
          <w:tcPr>
            <w:tcW w:w="2621" w:type="dxa"/>
            <w:gridSpan w:val="2"/>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Arrangement</w:t>
            </w:r>
          </w:p>
        </w:tc>
        <w:tc>
          <w:tcPr>
            <w:tcW w:w="1886"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Shares of Common</w:t>
            </w:r>
          </w:p>
        </w:tc>
        <w:tc>
          <w:tcPr>
            <w:tcW w:w="1477" w:type="dxa"/>
            <w:tcBorders/>
            <w:vAlign w:val="center"/>
          </w:tcPr>
          <w:p>
            <w:pPr>
              <w:pStyle w:val="TableContents"/>
              <w:bidi w:val="0"/>
              <w:spacing w:before="0" w:after="0"/>
              <w:ind w:left="0" w:right="0" w:hanging="0"/>
              <w:jc w:val="left"/>
              <w:rPr/>
            </w:pPr>
            <w:r>
              <w:rPr/>
              <w:t> </w:t>
            </w:r>
          </w:p>
        </w:tc>
      </w:tr>
      <w:tr>
        <w:trPr/>
        <w:tc>
          <w:tcPr>
            <w:tcW w:w="2614" w:type="dxa"/>
            <w:tcBorders>
              <w:bottom w:val="single" w:sz="18"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and Title</w:t>
            </w:r>
          </w:p>
        </w:tc>
        <w:tc>
          <w:tcPr>
            <w:tcW w:w="575"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Action</w:t>
            </w:r>
          </w:p>
        </w:tc>
        <w:tc>
          <w:tcPr>
            <w:tcW w:w="1032"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1025" w:type="dxa"/>
            <w:tcBorders>
              <w:bottom w:val="single" w:sz="1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caps w:val="false"/>
                <w:smallCaps w:val="false"/>
                <w:sz w:val="20"/>
              </w:rPr>
              <w:t xml:space="preserve">Rule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p>
        </w:tc>
        <w:tc>
          <w:tcPr>
            <w:tcW w:w="1596" w:type="dxa"/>
            <w:tcBorders>
              <w:bottom w:val="single" w:sz="18" w:space="0" w:color="000000"/>
            </w:tcBorders>
            <w:tcMar>
              <w:bottom w:w="28" w:type="dxa"/>
            </w:tcMar>
            <w:vAlign w:val="center"/>
          </w:tcPr>
          <w:p>
            <w:pPr>
              <w:pStyle w:val="TableContents"/>
              <w:bidi w:val="0"/>
              <w:spacing w:before="0" w:after="0"/>
              <w:ind w:left="0" w:right="0" w:hanging="0"/>
              <w:jc w:val="center"/>
              <w:rPr/>
            </w:pPr>
            <w:r>
              <w:rPr>
                <w:rFonts w:ascii="Times New Roman" w:hAnsi="Times New Roman"/>
                <w:b/>
                <w:caps w:val="false"/>
                <w:smallCaps w:val="false"/>
                <w:sz w:val="20"/>
              </w:rPr>
              <w:t>Non-Rule</w:t>
            </w:r>
            <w:r>
              <w:rPr>
                <w:rFonts w:ascii="Times New Roman" w:hAnsi="Times New Roman"/>
                <w:caps w:val="false"/>
                <w:smallCaps w:val="false"/>
                <w:sz w:val="20"/>
              </w:rPr>
              <w:t> </w:t>
            </w:r>
            <w:r>
              <w:rPr>
                <w:rStyle w:val="Emphasis"/>
                <w:rFonts w:ascii="Times New Roman" w:hAnsi="Times New Roman"/>
                <w:b/>
                <w:caps w:val="false"/>
                <w:smallCaps w:val="false"/>
                <w:sz w:val="20"/>
              </w:rPr>
              <w:t>10b5</w:t>
            </w:r>
            <w:r>
              <w:rPr>
                <w:rFonts w:ascii="Times New Roman" w:hAnsi="Times New Roman"/>
                <w:b/>
                <w:caps w:val="false"/>
                <w:smallCaps w:val="false"/>
                <w:sz w:val="20"/>
              </w:rPr>
              <w:t>-</w:t>
            </w:r>
            <w:r>
              <w:rPr>
                <w:rStyle w:val="Emphasis"/>
                <w:rFonts w:ascii="Times New Roman" w:hAnsi="Times New Roman"/>
                <w:b/>
                <w:caps w:val="false"/>
                <w:smallCaps w:val="false"/>
                <w:sz w:val="20"/>
              </w:rPr>
              <w:t>1**</w:t>
            </w:r>
          </w:p>
        </w:tc>
        <w:tc>
          <w:tcPr>
            <w:tcW w:w="1886"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to be Sold</w:t>
            </w:r>
          </w:p>
        </w:tc>
        <w:tc>
          <w:tcPr>
            <w:tcW w:w="1477"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Expiration Date</w:t>
            </w:r>
          </w:p>
        </w:tc>
      </w:tr>
      <w:tr>
        <w:trPr/>
        <w:tc>
          <w:tcPr>
            <w:tcW w:w="26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Allison Dorval, Board Member</w:t>
            </w:r>
          </w:p>
        </w:tc>
        <w:tc>
          <w:tcPr>
            <w:tcW w:w="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w:t>
            </w:r>
          </w:p>
        </w:tc>
        <w:tc>
          <w:tcPr>
            <w:tcW w:w="1032" w:type="dxa"/>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16, 2026</w:t>
            </w:r>
          </w:p>
        </w:tc>
        <w:tc>
          <w:tcPr>
            <w:tcW w:w="10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1596" w:type="dxa"/>
            <w:tcBorders/>
            <w:vAlign w:val="center"/>
          </w:tcPr>
          <w:p>
            <w:pPr>
              <w:pStyle w:val="TableContents"/>
              <w:bidi w:val="0"/>
              <w:spacing w:before="0" w:after="0"/>
              <w:ind w:left="0" w:right="0" w:hanging="0"/>
              <w:jc w:val="left"/>
              <w:rPr/>
            </w:pPr>
            <w:r>
              <w:rPr/>
              <w:t> </w:t>
            </w:r>
          </w:p>
        </w:tc>
        <w:tc>
          <w:tcPr>
            <w:tcW w:w="1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Up to 10,193 shares</w:t>
            </w:r>
          </w:p>
        </w:tc>
        <w:tc>
          <w:tcPr>
            <w:tcW w:w="1477" w:type="dxa"/>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July 9, 2027</w:t>
            </w:r>
          </w:p>
        </w:tc>
      </w:tr>
      <w:tr>
        <w:trPr/>
        <w:tc>
          <w:tcPr>
            <w:tcW w:w="26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Alessandra Cesano, Board Member</w:t>
            </w:r>
          </w:p>
        </w:tc>
        <w:tc>
          <w:tcPr>
            <w:tcW w:w="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w:t>
            </w:r>
          </w:p>
        </w:tc>
        <w:tc>
          <w:tcPr>
            <w:tcW w:w="1032" w:type="dxa"/>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15, 2026</w:t>
            </w:r>
          </w:p>
        </w:tc>
        <w:tc>
          <w:tcPr>
            <w:tcW w:w="10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1596" w:type="dxa"/>
            <w:tcBorders/>
            <w:vAlign w:val="center"/>
          </w:tcPr>
          <w:p>
            <w:pPr>
              <w:pStyle w:val="TableContents"/>
              <w:bidi w:val="0"/>
              <w:spacing w:before="0" w:after="0"/>
              <w:ind w:left="0" w:right="0" w:hanging="0"/>
              <w:jc w:val="left"/>
              <w:rPr/>
            </w:pPr>
            <w:r>
              <w:rPr/>
              <w:t> </w:t>
            </w:r>
          </w:p>
        </w:tc>
        <w:tc>
          <w:tcPr>
            <w:tcW w:w="1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Up to 62,150 shares</w:t>
            </w:r>
          </w:p>
        </w:tc>
        <w:tc>
          <w:tcPr>
            <w:tcW w:w="1477" w:type="dxa"/>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 2026</w:t>
            </w:r>
          </w:p>
        </w:tc>
      </w:tr>
      <w:tr>
        <w:trPr/>
        <w:tc>
          <w:tcPr>
            <w:tcW w:w="261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Troy Wilson, Board Member</w:t>
            </w:r>
          </w:p>
        </w:tc>
        <w:tc>
          <w:tcPr>
            <w:tcW w:w="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w:t>
            </w:r>
          </w:p>
        </w:tc>
        <w:tc>
          <w:tcPr>
            <w:tcW w:w="1032" w:type="dxa"/>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15, 2026</w:t>
            </w:r>
          </w:p>
        </w:tc>
        <w:tc>
          <w:tcPr>
            <w:tcW w:w="10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1596" w:type="dxa"/>
            <w:tcBorders/>
            <w:vAlign w:val="center"/>
          </w:tcPr>
          <w:p>
            <w:pPr>
              <w:pStyle w:val="TableContents"/>
              <w:bidi w:val="0"/>
              <w:spacing w:before="0" w:after="0"/>
              <w:ind w:left="0" w:right="0" w:hanging="0"/>
              <w:jc w:val="left"/>
              <w:rPr/>
            </w:pPr>
            <w:r>
              <w:rPr/>
              <w:t> </w:t>
            </w:r>
          </w:p>
        </w:tc>
        <w:tc>
          <w:tcPr>
            <w:tcW w:w="188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Up to 18,500 shares</w:t>
            </w:r>
          </w:p>
        </w:tc>
        <w:tc>
          <w:tcPr>
            <w:tcW w:w="1477" w:type="dxa"/>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17, 2027</w:t>
            </w:r>
          </w:p>
        </w:tc>
      </w:tr>
      <w:tr>
        <w:trPr/>
        <w:tc>
          <w:tcPr>
            <w:tcW w:w="2614" w:type="dxa"/>
            <w:tcBorders>
              <w:bottom w:val="single" w:sz="18"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Adrian Senderowicz, Board Member</w:t>
            </w:r>
          </w:p>
        </w:tc>
        <w:tc>
          <w:tcPr>
            <w:tcW w:w="575"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Adopt</w:t>
            </w:r>
          </w:p>
        </w:tc>
        <w:tc>
          <w:tcPr>
            <w:tcW w:w="1032" w:type="dxa"/>
            <w:tcBorders>
              <w:bottom w:val="single" w:sz="18"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16, 2026</w:t>
            </w:r>
          </w:p>
        </w:tc>
        <w:tc>
          <w:tcPr>
            <w:tcW w:w="1025"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c>
          <w:tcPr>
            <w:tcW w:w="1596" w:type="dxa"/>
            <w:tcBorders>
              <w:bottom w:val="single" w:sz="18" w:space="0" w:color="000000"/>
            </w:tcBorders>
            <w:tcMar>
              <w:bottom w:w="28" w:type="dxa"/>
            </w:tcMar>
            <w:vAlign w:val="center"/>
          </w:tcPr>
          <w:p>
            <w:pPr>
              <w:pStyle w:val="TableContents"/>
              <w:bidi w:val="0"/>
              <w:spacing w:before="0" w:after="0"/>
              <w:ind w:left="0" w:right="0" w:hanging="0"/>
              <w:jc w:val="left"/>
              <w:rPr/>
            </w:pPr>
            <w:r>
              <w:rPr/>
              <w:t> </w:t>
            </w:r>
          </w:p>
        </w:tc>
        <w:tc>
          <w:tcPr>
            <w:tcW w:w="1886" w:type="dxa"/>
            <w:tcBorders>
              <w:bottom w:val="single" w:sz="18"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Up to 27,000 shares</w:t>
            </w:r>
          </w:p>
        </w:tc>
        <w:tc>
          <w:tcPr>
            <w:tcW w:w="1477" w:type="dxa"/>
            <w:tcBorders>
              <w:bottom w:val="single" w:sz="18"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25, 2027</w:t>
            </w:r>
          </w:p>
        </w:tc>
      </w:tr>
    </w:tbl>
    <w:p>
      <w:pPr>
        <w:pStyle w:val="TextBody"/>
        <w:bidi w:val="0"/>
        <w:spacing w:before="0" w:after="0"/>
        <w:ind w:left="0" w:right="0" w:hanging="0"/>
        <w:jc w:val="left"/>
        <w:rPr/>
      </w:pPr>
      <w:r>
        <w:rPr/>
        <w:t> </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570" w:type="dxa"/>
        <w:jc w:val="left"/>
        <w:tblInd w:w="0" w:type="dxa"/>
        <w:tblLayout w:type="fixed"/>
        <w:tblCellMar>
          <w:top w:w="0" w:type="dxa"/>
          <w:left w:w="0" w:type="dxa"/>
          <w:bottom w:w="0" w:type="dxa"/>
          <w:right w:w="0" w:type="dxa"/>
        </w:tblCellMar>
      </w:tblPr>
      <w:tblGrid>
        <w:gridCol w:w="605"/>
        <w:gridCol w:w="9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6.</w:t>
            </w:r>
            <w:bookmarkStart w:id="19" w:name="exs"/>
            <w:bookmarkEnd w:id="19"/>
          </w:p>
        </w:tc>
        <w:tc>
          <w:tcPr>
            <w:tcW w:w="9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bl>
    <w:p>
      <w:pPr>
        <w:pStyle w:val="TextBody"/>
        <w:bidi w:val="0"/>
        <w:spacing w:before="0" w:after="0"/>
        <w:ind w:left="0" w:right="0" w:hanging="0"/>
        <w:jc w:val="left"/>
        <w:rPr/>
      </w:pPr>
      <w:r>
        <w:rPr/>
        <w:t> </w:t>
      </w:r>
    </w:p>
    <w:tbl>
      <w:tblPr>
        <w:tblW w:w="4300" w:type="dxa"/>
        <w:jc w:val="left"/>
        <w:tblInd w:w="0" w:type="dxa"/>
        <w:tblLayout w:type="fixed"/>
        <w:tblCellMar>
          <w:top w:w="0" w:type="dxa"/>
          <w:left w:w="0" w:type="dxa"/>
          <w:bottom w:w="0" w:type="dxa"/>
          <w:right w:w="0" w:type="dxa"/>
        </w:tblCellMar>
      </w:tblPr>
      <w:tblGrid>
        <w:gridCol w:w="60"/>
        <w:gridCol w:w="230"/>
        <w:gridCol w:w="4010"/>
      </w:tblGrid>
      <w:tr>
        <w:trPr/>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4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Exhibits required by Item 601 of Regulation 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49"/>
        <w:gridCol w:w="60"/>
        <w:gridCol w:w="9396"/>
      </w:tblGrid>
      <w:tr>
        <w:trPr/>
        <w:tc>
          <w:tcPr>
            <w:tcW w:w="74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Exhibit</w:t>
            </w:r>
          </w:p>
          <w:p>
            <w:pPr>
              <w:pStyle w:val="TableContents"/>
              <w:bidi w:val="0"/>
              <w:spacing w:before="0" w:after="0"/>
              <w:ind w:left="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Second Amended and Restated Certificate of Incorporation of the Company, as filed with the Secretary of State of the State of Delaware on June 14, 2016 (filed as Exhibit 3.1 to the Company</w:t>
              </w:r>
            </w:hyperlink>
            <w:hyperlink r:id="rId3">
              <w:r>
                <w:rPr>
                  <w:rStyle w:val="InternetLink"/>
                  <w:rFonts w:ascii="Times New Roman" w:hAnsi="Times New Roman"/>
                  <w:caps w:val="false"/>
                  <w:smallCaps w:val="false"/>
                  <w:sz w:val="20"/>
                </w:rPr>
                <w:t>’</w:t>
              </w:r>
            </w:hyperlink>
            <w:hyperlink r:id="rId4">
              <w:r>
                <w:rPr>
                  <w:rStyle w:val="InternetLink"/>
                  <w:rFonts w:ascii="Times New Roman" w:hAnsi="Times New Roman"/>
                  <w:caps w:val="false"/>
                  <w:smallCaps w:val="false"/>
                  <w:sz w:val="20"/>
                  <w:u w:val="single"/>
                </w:rPr>
                <w:t>s Current Report on Form 8-K filed with the SEC on June 15, 2016, and incorporated herein by reference)</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Fifth Amended and Restated Bylaws of the Company (filed as Exhibit 3.1 to the Company</w:t>
              </w:r>
            </w:hyperlink>
            <w:hyperlink r:id="rId6">
              <w:r>
                <w:rPr>
                  <w:rStyle w:val="InternetLink"/>
                  <w:rFonts w:ascii="Times New Roman" w:hAnsi="Times New Roman"/>
                  <w:caps w:val="false"/>
                  <w:smallCaps w:val="false"/>
                  <w:sz w:val="20"/>
                </w:rPr>
                <w:t>’</w:t>
              </w:r>
            </w:hyperlink>
            <w:hyperlink r:id="rId7">
              <w:r>
                <w:rPr>
                  <w:rStyle w:val="InternetLink"/>
                  <w:rFonts w:ascii="Times New Roman" w:hAnsi="Times New Roman"/>
                  <w:caps w:val="false"/>
                  <w:smallCaps w:val="false"/>
                  <w:sz w:val="20"/>
                  <w:u w:val="single"/>
                </w:rPr>
                <w:t>s Current Report on Form 8-K filed with the SEC on June 24, 2025, and incorporated herein by reference)</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283"/>
              <w:jc w:val="left"/>
              <w:rPr/>
            </w:pPr>
            <w:hyperlink r:id="rId8">
              <w:r>
                <w:rPr>
                  <w:rStyle w:val="InternetLink"/>
                </w:rPr>
                <w:t>Ninth Amendment to Note Purchase Agreement and Fifth Amendment to Disclosure Letter, dated April 16, 2026 by and between the Company and Athyrium Opportunities IV Co-Invest 1 LP, as Administrative Agent (filed as Exhibit 10.1 to the Company’s Quarterly Report on Form 10-Q filed with the SEC on May 7, 2026, and incorporated herein by reference)</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283"/>
              <w:jc w:val="left"/>
              <w:rPr/>
            </w:pPr>
            <w:r>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283"/>
              <w:jc w:val="left"/>
              <w:rPr/>
            </w:pPr>
            <w:hyperlink w:anchor="ex_970656.htm">
              <w:r>
                <w:rPr>
                  <w:rStyle w:val="InternetLink"/>
                </w:rPr>
                <w:t>Certification of Principal Executive Officer pursuant to Section 302 of the Sarbanes-Oxley Act of 2002 with respect to the registrant’s Quarterly Report on Form 10-Q for the quarter ended June 30, 2026</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hyperlink w:anchor="ex_970657.htm">
              <w:r>
                <w:rPr>
                  <w:rStyle w:val="InternetLink"/>
                  <w:rFonts w:ascii="Times New Roman" w:hAnsi="Times New Roman"/>
                  <w:caps w:val="false"/>
                  <w:smallCaps w:val="false"/>
                  <w:sz w:val="20"/>
                </w:rPr>
                <w:t>Certification of Principal Financial Officer pursuant to Section 302 of the Sarbanes-Oxley Act of 2002, with respect to the registrant’s Quarterly Report on Form 10-Q for the quarter ended June 30, 2026</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hyperlink w:anchor="ex_970658.htm">
              <w:r>
                <w:rPr>
                  <w:rStyle w:val="InternetLink"/>
                  <w:rFonts w:ascii="Times New Roman" w:hAnsi="Times New Roman"/>
                  <w:caps w:val="false"/>
                  <w:smallCaps w:val="false"/>
                  <w:sz w:val="20"/>
                </w:rPr>
                <w:t>Certification of Principal Executive Officer pursuant to 18 U.S.C. Section 1350, as adopted pursuant to Section 906 of the Sarbanes-Oxley Act of 2002</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hyperlink w:anchor="ex_970659.htm">
              <w:r>
                <w:rPr>
                  <w:rStyle w:val="InternetLink"/>
                  <w:rFonts w:ascii="Times New Roman" w:hAnsi="Times New Roman"/>
                  <w:caps w:val="false"/>
                  <w:smallCaps w:val="false"/>
                  <w:sz w:val="20"/>
                </w:rPr>
                <w:t>Certification of Principal Financial Officer pursuant to 18 U.S.C. Section 1350, as adopted pursuant to Section 906 of the Sarbanes-Oxley Act of 2002</w:t>
              </w:r>
            </w:hyperlink>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instance document does not appear in the Interactive Data File because its XBRL tags are embedded within the Inline XBRL document.</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Linkbase Document</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74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pPr>
            <w:r>
              <w:rPr/>
              <w:t> </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r>
        <w:trPr/>
        <w:tc>
          <w:tcPr>
            <w:tcW w:w="749"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396"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0" w:name="sigs"/>
      <w:bookmarkEnd w:id="20"/>
      <w:r>
        <w:rPr>
          <w:rFonts w:ascii="Times New Roman" w:hAnsi="Times New Roman"/>
          <w:b/>
          <w:caps w:val="false"/>
          <w:smallCaps w:val="false"/>
          <w:sz w:val="20"/>
          <w:u w:val="single"/>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15" w:type="dxa"/>
        <w:jc w:val="left"/>
        <w:tblInd w:w="0" w:type="dxa"/>
        <w:tblLayout w:type="fixed"/>
        <w:tblCellMar>
          <w:top w:w="0" w:type="dxa"/>
          <w:left w:w="0" w:type="dxa"/>
          <w:bottom w:w="0" w:type="dxa"/>
          <w:right w:w="0" w:type="dxa"/>
        </w:tblCellMar>
      </w:tblPr>
      <w:tblGrid>
        <w:gridCol w:w="2060"/>
        <w:gridCol w:w="320"/>
        <w:gridCol w:w="3635"/>
      </w:tblGrid>
      <w:tr>
        <w:trPr/>
        <w:tc>
          <w:tcPr>
            <w:tcW w:w="2060" w:type="dxa"/>
            <w:tcBorders/>
            <w:vAlign w:val="center"/>
          </w:tcPr>
          <w:p>
            <w:pPr>
              <w:pStyle w:val="TableContents"/>
              <w:bidi w:val="0"/>
              <w:spacing w:before="0" w:after="0"/>
              <w:ind w:left="0" w:right="0" w:hanging="0"/>
              <w:jc w:val="left"/>
              <w:rPr/>
            </w:pPr>
            <w:r>
              <w:rPr/>
              <w:t> </w:t>
            </w:r>
          </w:p>
        </w:tc>
        <w:tc>
          <w:tcPr>
            <w:tcW w:w="395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PUMA BIOTECHNOLOGY, INC.</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 </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pPr>
            <w:r>
              <w:rPr/>
              <w:t> </w:t>
            </w:r>
          </w:p>
        </w:tc>
      </w:tr>
      <w:tr>
        <w:trPr/>
        <w:tc>
          <w:tcPr>
            <w:tcW w:w="2060" w:type="dxa"/>
            <w:tcBorders/>
            <w:vAlign w:val="center"/>
          </w:tcPr>
          <w:p>
            <w:pPr>
              <w:pStyle w:val="TableContents"/>
              <w:bidi w:val="0"/>
              <w:spacing w:before="0" w:after="283"/>
              <w:jc w:val="left"/>
              <w:rPr/>
            </w:pPr>
            <w:r>
              <w:rPr/>
              <w:t>Date: August 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 </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Nougues</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06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50</w:t>
      </w:r>
    </w:p>
    <w:p>
      <w:pPr>
        <w:pStyle w:val="TextBody"/>
        <w:bidi w:val="0"/>
        <w:spacing w:before="0" w:after="0"/>
        <w:ind w:left="0" w:right="0" w:hanging="0"/>
        <w:jc w:val="right"/>
        <w:rPr>
          <w:rFonts w:ascii="Times New Roman" w:hAnsi="Times New Roman"/>
          <w:sz w:val="20"/>
        </w:rPr>
      </w:pPr>
      <w:bookmarkStart w:id="21" w:name="ex_970655.htm"/>
      <w:bookmarkStart w:id="22" w:name="ksex_970655"/>
      <w:bookmarkEnd w:id="21"/>
      <w:bookmarkEnd w:id="22"/>
      <w:r>
        <w:rPr>
          <w:rFonts w:ascii="Times New Roman;Times;serif" w:hAnsi="Times New Roman;Times;serif"/>
          <w:b/>
          <w:sz w:val="20"/>
        </w:rPr>
        <w:t>Exhibit 10.1</w:t>
      </w:r>
      <w:r>
        <w:rPr>
          <w:rFonts w:ascii="Times New Roman" w:hAnsi="Times New Roman"/>
          <w:sz w:val="20"/>
        </w:rPr>
        <w:t xml:space="preserve"> </w:t>
      </w:r>
      <w:r>
        <w:br w:type="page"/>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b/>
          <w:i/>
          <w:caps w:val="false"/>
          <w:smallCaps w:val="false"/>
          <w:sz w:val="20"/>
        </w:rPr>
        <w:t>Execution Version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NINTH AMENDMENT TO NOTE PURCHASE AGREEMENT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AND FIFTH AMENDMENT TO DISCLOSURE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NINTH AMENDMENT TO NOTE PURCHASE AGREEMENT AND FIFTH AMENDMENT TO DISCLOSURE LETTER (this “</w:t>
      </w:r>
      <w:r>
        <w:rPr>
          <w:rFonts w:ascii="Times New Roman" w:hAnsi="Times New Roman"/>
          <w:caps w:val="false"/>
          <w:smallCaps w:val="false"/>
          <w:sz w:val="20"/>
          <w:u w:val="single"/>
        </w:rPr>
        <w:t>Agreement</w:t>
      </w:r>
      <w:r>
        <w:rPr>
          <w:rFonts w:ascii="Times New Roman" w:hAnsi="Times New Roman"/>
          <w:caps w:val="false"/>
          <w:smallCaps w:val="false"/>
          <w:sz w:val="20"/>
        </w:rPr>
        <w:t>”), dated as of April 16, 2026, is entered into by and among PUMA BIOTECHNOLOGY, INC., a Delaware corporation (the “</w:t>
      </w:r>
      <w:r>
        <w:rPr>
          <w:rFonts w:ascii="Times New Roman" w:hAnsi="Times New Roman"/>
          <w:caps w:val="false"/>
          <w:smallCaps w:val="false"/>
          <w:sz w:val="20"/>
          <w:u w:val="single"/>
        </w:rPr>
        <w:t>Issuer</w:t>
      </w:r>
      <w:r>
        <w:rPr>
          <w:rFonts w:ascii="Times New Roman" w:hAnsi="Times New Roman"/>
          <w:caps w:val="false"/>
          <w:smallCaps w:val="false"/>
          <w:sz w:val="20"/>
        </w:rPr>
        <w:t>”), the Guarantors party hereto, the Purchasers party hereto and ATHYRIUM OPPORTUNITIES IV CO-INVEST 1 LP, as the Administrative Agent. All capitalized terms used herein and not otherwise defined herein shall have the meanings given to such terms in the Note Purchase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u w:val="single"/>
        </w:rPr>
        <w:t>RECITALS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Issuer, the Guarantors, the Purchasers and the Administrative Agent entered into that certain Note Purchase Agreement dated as of July 23, 2021 (as amended or modified from time to time, the “</w:t>
      </w:r>
      <w:r>
        <w:rPr>
          <w:rFonts w:ascii="Times New Roman" w:hAnsi="Times New Roman"/>
          <w:caps w:val="false"/>
          <w:smallCaps w:val="false"/>
          <w:sz w:val="20"/>
          <w:u w:val="single"/>
        </w:rPr>
        <w:t>Note Purchase Agreement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Credit Parties have requested that the Note Purchase Agreement and the Disclosure Letter be amended as set forth below, subject to the terms and conditions specified in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the parties hereto are willing to amend the Note Purchase Agreement and the Disclosure Letter, subject to the terms and conditions specified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the mutual covenants contained herein, and for other good and valuable consideration, the receipt and sufficiency of which are hereby acknowledged, the parties hereto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Amendments</w:t>
      </w:r>
      <w:r>
        <w:rPr>
          <w:rFonts w:ascii="Times New Roman" w:hAnsi="Times New Roman"/>
          <w:caps w:val="false"/>
          <w:smallCaps w:val="false"/>
          <w:sz w:val="20"/>
        </w:rPr>
        <w:t>. The Note Purchase Agreement and the Disclosure Letter are hereby amended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definition of “Qualified Equity Issuance” in Section 1.01 of the Note Purchase Agreement is hereby amended by replacing the text “April 30, 2026” with the text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Section 7.23 of the Note Purchase Agreement is hereby amended by replacing each occurrence of the text “April 30, 2026” with the text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Schedule 1.01(c) to the Disclosure Letter is hereby amended by replacing the text “April 30, 2026” with the text “July 23,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Condition Precedent</w:t>
      </w:r>
      <w:r>
        <w:rPr>
          <w:rFonts w:ascii="Times New Roman" w:hAnsi="Times New Roman"/>
          <w:caps w:val="false"/>
          <w:smallCaps w:val="false"/>
          <w:sz w:val="20"/>
        </w:rPr>
        <w:t>. This Agreement shall be effective as of the date hereof upon satisfaction of each of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Administrative Agent shall have received counterparts of this Agreement duly executed by the Issuer, the Guarantors, the Purchasers and the Administrative Agent;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Issuer shall have paid all reasonable and documented out-of-pocket expenses incurred by the Administrative Agent and its Affiliates prior to the date hereof (including the reasonable fees, charges and disbursements of outside counsel for the Administrative Agent), in each case, to the extent required under Section 11.04 of the Note Purchase Agreement and invoiced at least three Business Days prior to the date hereof.</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Reaffirmation of Representations and Warranties; No Default</w:t>
      </w:r>
      <w:r>
        <w:rPr>
          <w:rFonts w:ascii="Times New Roman" w:hAnsi="Times New Roman"/>
          <w:caps w:val="false"/>
          <w:smallCaps w:val="false"/>
          <w:sz w:val="20"/>
        </w:rPr>
        <w:t xml:space="preserve">. The Issuer and each other Credit Party represents and warrants to the Administrative Agent and each Purchaser that after giving effect to this Agreement (a) the representations and warranties of the Issuer and each other Credit Party contained in Article VI of the Note Purchase Agreement or any other Note Document, or which are contained in any document furnished at any time under or in connection therewith, are true and correct in all material respects (and in all respects if any such representation or warranty is already qualified by materiality or reference to Material Adverse Effect) on and as of the date hereof,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Times New Roman" w:hAnsi="Times New Roman"/>
          <w:caps w:val="false"/>
          <w:smallCaps w:val="false"/>
          <w:sz w:val="20"/>
          <w:u w:val="single"/>
        </w:rPr>
        <w:t>Section 3</w:t>
      </w:r>
      <w:r>
        <w:rPr>
          <w:rFonts w:ascii="Times New Roman" w:hAnsi="Times New Roman"/>
          <w:caps w:val="false"/>
          <w:smallCaps w:val="false"/>
          <w:sz w:val="20"/>
        </w:rPr>
        <w:t>, the representations and warranties contained in clauses (a) and (b) of Section 6.05 of the Note Purchase Agreement shall be deemed to refer to the most recent statements furnished pursuant to clauses (a) and (b) of Section 7.01 of the Note Purchase Agreement, respectively, and (b)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Miscellaneous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Note Purchase Agreement and the obligations of the Credit Parties thereunder and under the other Note Documents, are hereby ratified and confirmed and shall remain in full force and effect according to their terms.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Sections 11.14 and 11.15 of the Note Purchase Agreement are incorporated herein by reference and shall apply, </w:t>
      </w:r>
      <w:r>
        <w:rPr>
          <w:rFonts w:ascii="Times New Roman" w:hAnsi="Times New Roman"/>
          <w:i/>
          <w:caps w:val="false"/>
          <w:smallCaps w:val="false"/>
          <w:sz w:val="20"/>
        </w:rPr>
        <w:t>mutatis mutandis</w:t>
      </w:r>
      <w:r>
        <w:rPr>
          <w:rFonts w:ascii="Times New Roman" w:hAnsi="Times New Roman"/>
          <w:caps w:val="false"/>
          <w:smallCaps w:val="false"/>
          <w:sz w:val="20"/>
        </w:rPr>
        <w:t>, to this Agreement as if fully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(c)         As a material part of the consideration for the Administrative Agent and the Purchasers entering into this Agreement, the Credit Parties agree that the Administrative Agent, the Purchasers, each of their respective Affiliates and each of the foregoing Persons’ respective officers, managers, members, directors, advisors, sub-advisors, partners, agents and employees, and their respective successors and assigns (hereinafter all of the above collectively referred to as the “</w:t>
      </w:r>
      <w:r>
        <w:rPr>
          <w:rFonts w:ascii="Times New Roman" w:hAnsi="Times New Roman"/>
          <w:caps w:val="false"/>
          <w:smallCaps w:val="false"/>
          <w:sz w:val="20"/>
          <w:u w:val="single"/>
        </w:rPr>
        <w:t>Purchaser Group</w:t>
      </w:r>
      <w:r>
        <w:rPr>
          <w:rFonts w:ascii="Times New Roman" w:hAnsi="Times New Roman"/>
          <w:caps w:val="false"/>
          <w:smallCaps w:val="false"/>
          <w:sz w:val="20"/>
        </w:rPr>
        <w:t>”), are irrevocably and unconditionally released, discharged and acquitted from any and all actions, causes of action, claims, demands, damages and liabilities of whatever kind or nature, in law or in equity, now known or unknown, suspected or unsuspected to the extent that any of the foregoing arises from any action or failure to act under or otherwise arising in connection with the Note Documents, in each case arising on or prior to the date hereof, except to the extent such actions, causes of action, claims, demands, damages and liabilities result from the gross negligence or willful misconduct of any of the Purchaser Group as determined by a court of competent jurisdiction in a final and nonappealable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(d)         This Agreement may be executed in any number of counterparts, each of which when so executed and delivered shall be an original, but all of which shall constitute one and the same instrument. Delivery of an executed counterpart of a signature page of this Agreement by facsimile or other electronic imaging means (e.g. “pdf” or “tif”)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b/>
          <w:caps w:val="false"/>
          <w:smallCaps w:val="false"/>
          <w:sz w:val="20"/>
        </w:rPr>
        <w:t>THIS AGREEMENT AND THE RIGHTS AND OBLIGATIONS OF THE PARTIES HEREUNDER SHALL BE GOVERNED BY AND CONSTRUED AND INTERPRETED IN ACCORDANCE WITH THE LAWS OF THE STATE OF NEW YORK.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w:t>
      </w:r>
      <w:r>
        <w:rPr>
          <w:rFonts w:ascii="Times New Roman" w:hAnsi="Times New Roman"/>
          <w:i/>
          <w:caps w:val="false"/>
          <w:smallCaps w:val="false"/>
          <w:sz w:val="20"/>
        </w:rPr>
        <w:t xml:space="preserve">, </w:t>
      </w:r>
      <w:r>
        <w:rPr>
          <w:rFonts w:ascii="Times New Roman" w:hAnsi="Times New Roman"/>
          <w:caps w:val="false"/>
          <w:smallCaps w:val="false"/>
          <w:sz w:val="20"/>
        </w:rPr>
        <w:t>the parties hereto have caused this Agreement to be duly executed as of the date first above written.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PUMA BIOTECHNOLOGY,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Alan Auerbach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Alan Auerbach</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Chief Executive Officer</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ATHYRIUM OPPORTUNITIES</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IV CO-INVEST 1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ATHYRIUM OPPORTUNITIES ASSOCIATES IV CO-INVEST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Rashida Adams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Rashida Adams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ATHYRIUM OPPORTUNITIES</w:t>
      </w:r>
    </w:p>
    <w:p>
      <w:pPr>
        <w:pStyle w:val="TextBody"/>
        <w:bidi w:val="0"/>
        <w:spacing w:before="0" w:after="0"/>
        <w:ind w:left="3600" w:right="0" w:hanging="3600"/>
        <w:jc w:val="left"/>
        <w:rPr>
          <w:rFonts w:ascii="Times New Roman" w:hAnsi="Times New Roman"/>
          <w:caps w:val="false"/>
          <w:smallCaps w:val="false"/>
          <w:sz w:val="20"/>
        </w:rPr>
      </w:pPr>
      <w:r>
        <w:rPr>
          <w:rFonts w:ascii="Times New Roman" w:hAnsi="Times New Roman"/>
          <w:caps w:val="false"/>
          <w:smallCaps w:val="false"/>
          <w:sz w:val="20"/>
        </w:rPr>
        <w:t>IV CO-INVEST 1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ATHYRIUM OPPORTUNITIES ASSOCIATES IV CO-INVEST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Rashida Adams                           </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Rashida Adams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3" w:name="ex_970656.htm"/>
      <w:bookmarkStart w:id="24" w:name="ksex_970656"/>
      <w:bookmarkEnd w:id="23"/>
      <w:bookmarkEnd w:id="24"/>
      <w:r>
        <w:rPr>
          <w:rFonts w:ascii="Times New Roman" w:hAnsi="Times New Roman"/>
          <w:b/>
          <w:caps w:val="false"/>
          <w:smallCaps w:val="false"/>
          <w:sz w:val="20"/>
        </w:rPr>
        <w:t>Exhibit 31.1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EXECUTIVE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Alan H. Auerbach,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Puma Biotechnology, Inc. for the quarter ended </w:t>
      </w:r>
      <w:bookmarkStart w:id="25" w:name="led390753F2023391681065147980"/>
      <w:bookmarkEnd w:id="25"/>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060"/>
        <w:gridCol w:w="60"/>
        <w:gridCol w:w="2225"/>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0"/>
              <w:ind w:left="0" w:right="0" w:hanging="0"/>
              <w:jc w:val="left"/>
              <w:rPr/>
            </w:pPr>
            <w:r>
              <w:rPr/>
              <w:t> </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20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6" w:name="ex_970657.htm"/>
      <w:bookmarkStart w:id="27" w:name="ksex_970657"/>
      <w:bookmarkEnd w:id="26"/>
      <w:bookmarkEnd w:id="27"/>
      <w:r>
        <w:rPr>
          <w:rFonts w:ascii="Times New Roman" w:hAnsi="Times New Roman"/>
          <w:b/>
          <w:caps w:val="false"/>
          <w:smallCaps w:val="false"/>
          <w:sz w:val="20"/>
        </w:rPr>
        <w:t>Exhibit 31.2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FINANCIAL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Maximo F. Nougues, certify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I have reviewed this Quarterly Report on Form 10-Q of Puma Biotechnology, Inc. for the quarter ended </w:t>
      </w:r>
      <w:bookmarkStart w:id="28" w:name="led390753F2023391681065210918"/>
      <w:bookmarkEnd w:id="28"/>
      <w:r>
        <w:rPr>
          <w:rFonts w:ascii="Times New Roman" w:hAnsi="Times New Roman"/>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060"/>
        <w:gridCol w:w="60"/>
        <w:gridCol w:w="3515"/>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0"/>
              <w:ind w:left="0" w:right="0" w:hanging="0"/>
              <w:jc w:val="left"/>
              <w:rPr/>
            </w:pPr>
            <w:r>
              <w:rPr/>
              <w:t> </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20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9" w:name="ex_970658.htm"/>
      <w:bookmarkStart w:id="30" w:name="ksex_970658"/>
      <w:bookmarkEnd w:id="29"/>
      <w:bookmarkEnd w:id="30"/>
      <w:r>
        <w:rPr>
          <w:rFonts w:ascii="Times New Roman" w:hAnsi="Times New Roman"/>
          <w:b/>
          <w:caps w:val="false"/>
          <w:smallCaps w:val="false"/>
          <w:sz w:val="20"/>
        </w:rPr>
        <w:t>Exhibit 32.1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1350, AS ADOPTED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The following certification is being furnished solely to accompany the Quarterly Report on Form 10-Q of Puma Biotechnology, Inc. for the quarter ended </w:t>
      </w:r>
      <w:bookmarkStart w:id="31" w:name="led390753F2023391681065247076"/>
      <w:bookmarkEnd w:id="31"/>
      <w:r>
        <w:rPr>
          <w:rFonts w:ascii="Times New Roman" w:hAnsi="Times New Roman"/>
          <w:caps w:val="false"/>
          <w:smallCaps w:val="false"/>
          <w:sz w:val="20"/>
        </w:rPr>
        <w:t>June 30, 2026,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Executive Officer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 Alan H. Auerbach, certify, pursuant to 18 U.S.C. Section 1350, as adopted pursuant to Section 906 of the Sarbanes-Oxley Act of 2002, that the Quarterly Report on Form 10-Q of Puma Biotechnology, Inc. for the quarter ended </w:t>
      </w:r>
      <w:bookmarkStart w:id="32" w:name="led390753F2023391681065251653"/>
      <w:bookmarkEnd w:id="32"/>
      <w:r>
        <w:rPr>
          <w:rFonts w:ascii="Times New Roman" w:hAnsi="Times New Roman"/>
          <w:caps w:val="false"/>
          <w:smallCaps w:val="false"/>
          <w:sz w:val="20"/>
        </w:rPr>
        <w:t>June 30, 2026,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060"/>
        <w:gridCol w:w="60"/>
        <w:gridCol w:w="2225"/>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0"/>
              <w:ind w:left="0" w:right="0" w:hanging="0"/>
              <w:jc w:val="left"/>
              <w:rPr/>
            </w:pPr>
            <w:r>
              <w:rPr/>
              <w:t> </w:t>
            </w:r>
          </w:p>
        </w:tc>
        <w:tc>
          <w:tcPr>
            <w:tcW w:w="222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Alan H. Auerbach</w:t>
            </w:r>
          </w:p>
        </w:tc>
      </w:tr>
      <w:tr>
        <w:trPr/>
        <w:tc>
          <w:tcPr>
            <w:tcW w:w="20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Alan H. Auerbach</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108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33" w:name="ex_970659.htm"/>
      <w:bookmarkStart w:id="34" w:name="ksex_970659"/>
      <w:bookmarkEnd w:id="33"/>
      <w:bookmarkEnd w:id="34"/>
      <w:r>
        <w:rPr>
          <w:rFonts w:ascii="Times New Roman" w:hAnsi="Times New Roman"/>
          <w:b/>
          <w:caps w:val="false"/>
          <w:smallCaps w:val="false"/>
          <w:sz w:val="20"/>
        </w:rPr>
        <w:t>Exhibit 32.2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w:t>
      </w:r>
      <w:r>
        <w:rPr>
          <w:rFonts w:ascii="Times New Roman" w:hAnsi="Times New Roman"/>
          <w:caps w:val="false"/>
          <w:smallCaps w:val="false"/>
          <w:sz w:val="20"/>
        </w:rPr>
        <w:t> </w:t>
      </w:r>
      <w:r>
        <w:rPr>
          <w:rFonts w:ascii="Times New Roman" w:hAnsi="Times New Roman"/>
          <w:b/>
          <w:caps w:val="false"/>
          <w:smallCaps w:val="false"/>
          <w:sz w:val="20"/>
        </w:rPr>
        <w:t>1350, AS ADOPTED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w:t>
      </w:r>
      <w:r>
        <w:rPr>
          <w:rFonts w:ascii="Times New Roman" w:hAnsi="Times New Roman"/>
          <w:caps w:val="false"/>
          <w:smallCaps w:val="false"/>
          <w:sz w:val="20"/>
        </w:rPr>
        <w:t> </w:t>
      </w:r>
      <w:r>
        <w:rPr>
          <w:rFonts w:ascii="Times New Roman" w:hAnsi="Times New Roman"/>
          <w:b/>
          <w:caps w:val="false"/>
          <w:smallCaps w:val="false"/>
          <w:sz w:val="20"/>
        </w:rPr>
        <w:t>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The following certification is being furnished solely to accompany the Quarterly Report on Form 10-Q of Puma Biotechnology, Inc. for the quarter ended </w:t>
      </w:r>
      <w:bookmarkStart w:id="35" w:name="led390753F2023391681065307556"/>
      <w:bookmarkEnd w:id="35"/>
      <w:r>
        <w:rPr>
          <w:rFonts w:ascii="Times New Roman" w:hAnsi="Times New Roman"/>
          <w:caps w:val="false"/>
          <w:smallCaps w:val="false"/>
          <w:sz w:val="20"/>
        </w:rPr>
        <w:t>June 30, 2026, pursuant to 18 U.S.C. § 1350 and in accordance with SEC Release No. 33-8238. This certification shall not be deemed “filed” for purposes of Section 18 of the Securities Exchange Act of 1934, as amended, nor shall it be incorporated by reference in any filing of Puma Biotechnology, Inc. under the Securities Act of 1933, as amended, whether made before or after the date hereof, regardless of any general incorporation language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Financial Officer</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I, Maximo F. Nougues, certify, pursuant to 18 U.S.C. Section 1350, as adopted pursuant to Section 906 of the Sarbanes-Oxley Act of 2002, that the Quarterly Report on Form 10-Q of Puma Biotechnology, Inc. for the quarter ended </w:t>
      </w:r>
      <w:bookmarkStart w:id="36" w:name="led390753F20233916810653075561"/>
      <w:bookmarkEnd w:id="36"/>
      <w:r>
        <w:rPr>
          <w:rFonts w:ascii="Times New Roman" w:hAnsi="Times New Roman"/>
          <w:caps w:val="false"/>
          <w:smallCaps w:val="false"/>
          <w:sz w:val="20"/>
        </w:rPr>
        <w:t>June 30, 2026, fully complies with the requirements of Section 13(a) or 15(d), as applicable, of the Securities Exchange Act of 1934, as amended, and that the information contained in such report fairly presents, in all material respects, the financial condition and results of operations of Puma Biotechnology, Inc.</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2060"/>
        <w:gridCol w:w="60"/>
        <w:gridCol w:w="3515"/>
      </w:tblGrid>
      <w:tr>
        <w:trPr/>
        <w:tc>
          <w:tcPr>
            <w:tcW w:w="2060" w:type="dxa"/>
            <w:tcBorders/>
            <w:vAlign w:val="center"/>
          </w:tcPr>
          <w:p>
            <w:pPr>
              <w:pStyle w:val="TableContents"/>
              <w:bidi w:val="0"/>
              <w:spacing w:before="0" w:after="283"/>
              <w:jc w:val="left"/>
              <w:rPr/>
            </w:pPr>
            <w:r>
              <w:rPr/>
              <w:t>Date: August 6, 2026</w:t>
            </w:r>
          </w:p>
        </w:tc>
        <w:tc>
          <w:tcPr>
            <w:tcW w:w="60" w:type="dxa"/>
            <w:tcBorders/>
            <w:vAlign w:val="center"/>
          </w:tcPr>
          <w:p>
            <w:pPr>
              <w:pStyle w:val="TableContents"/>
              <w:bidi w:val="0"/>
              <w:spacing w:before="0" w:after="0"/>
              <w:ind w:left="0" w:right="0" w:hanging="0"/>
              <w:jc w:val="left"/>
              <w:rPr/>
            </w:pPr>
            <w:r>
              <w:rPr/>
              <w:t> </w:t>
            </w:r>
          </w:p>
        </w:tc>
        <w:tc>
          <w:tcPr>
            <w:tcW w:w="35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Maximo F. Nougues</w:t>
            </w:r>
          </w:p>
        </w:tc>
      </w:tr>
      <w:tr>
        <w:trPr/>
        <w:tc>
          <w:tcPr>
            <w:tcW w:w="20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Maximo F. Nougues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left"/>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Puma Biotechnology, Inc. and will be retained by Puma Biotechnology, Inc. and furnished to the Securities and Exchange Commission or its staff upon request.</w:t>
      </w:r>
    </w:p>
    <w:p>
      <w:pPr>
        <w:pStyle w:val="TextBody"/>
        <w:bidi w:val="0"/>
        <w:spacing w:before="0" w:after="0"/>
        <w:ind w:left="0" w:right="0" w:firstLine="108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01667/000119312516622448/d178772dex31.htm" TargetMode="External"/><Relationship Id="rId3" Type="http://schemas.openxmlformats.org/officeDocument/2006/relationships/hyperlink" Target="http://www.sec.gov/Archives/edgar/data/1401667/000119312516622448/d178772dex31.htm" TargetMode="External"/><Relationship Id="rId4" Type="http://schemas.openxmlformats.org/officeDocument/2006/relationships/hyperlink" Target="http://www.sec.gov/Archives/edgar/data/1401667/000119312516622448/d178772dex31.htm" TargetMode="External"/><Relationship Id="rId5" Type="http://schemas.openxmlformats.org/officeDocument/2006/relationships/hyperlink" Target="http://www.sec.gov/Archives/edgar/data/1401667/000143774925021153/ex_833086.htm" TargetMode="External"/><Relationship Id="rId6" Type="http://schemas.openxmlformats.org/officeDocument/2006/relationships/hyperlink" Target="http://www.sec.gov/Archives/edgar/data/1401667/000143774925021153/ex_833086.htm" TargetMode="External"/><Relationship Id="rId7" Type="http://schemas.openxmlformats.org/officeDocument/2006/relationships/hyperlink" Target="http://www.sec.gov/Archives/edgar/data/1401667/000143774925021153/ex_833086.htm" TargetMode="External"/><Relationship Id="rId8" Type="http://schemas.openxmlformats.org/officeDocument/2006/relationships/hyperlink" Target="http://www.sec.gov/Archives/edgar/data/1401667/000143774926015633/ex_938053.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32402</Words>
  <Characters>178580</Characters>
  <CharactersWithSpaces>213135</CharactersWithSpaces>
  <Paragraphs>6803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